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16237" w14:textId="55326DA2" w:rsidR="00237570" w:rsidRPr="003E1FD7" w:rsidRDefault="003E1FD7" w:rsidP="00611FC2">
      <w:pPr>
        <w:rPr>
          <w:b/>
          <w:bCs/>
        </w:rPr>
      </w:pPr>
      <w:proofErr w:type="gramStart"/>
      <w:r w:rsidRPr="003E1FD7">
        <w:rPr>
          <w:b/>
          <w:bCs/>
        </w:rPr>
        <w:t>EU ERBRECHT</w:t>
      </w:r>
      <w:proofErr w:type="gramEnd"/>
      <w:r w:rsidRPr="003E1FD7">
        <w:rPr>
          <w:b/>
          <w:bCs/>
        </w:rPr>
        <w:t xml:space="preserve"> @2030 - Ist die EU-Erbrechtsverordnung reif für eine Reform?</w:t>
      </w:r>
    </w:p>
    <w:p w14:paraId="167900B8" w14:textId="2989DA2E" w:rsidR="003E1FD7" w:rsidRDefault="003E1FD7" w:rsidP="00611FC2">
      <w:r>
        <w:t xml:space="preserve">Gregor Christandl, 36. Europäische </w:t>
      </w:r>
      <w:proofErr w:type="spellStart"/>
      <w:r>
        <w:t>Notarentage</w:t>
      </w:r>
      <w:proofErr w:type="spellEnd"/>
      <w:r>
        <w:t xml:space="preserve"> 2026</w:t>
      </w:r>
    </w:p>
    <w:p w14:paraId="57AD9111" w14:textId="77777777" w:rsidR="007157F6" w:rsidRDefault="007157F6" w:rsidP="00611FC2"/>
    <w:p w14:paraId="5845566D" w14:textId="3D410441" w:rsidR="003E1FD7" w:rsidRPr="00594F52" w:rsidRDefault="00206133" w:rsidP="00206133">
      <w:pPr>
        <w:pStyle w:val="Listenabsatz"/>
        <w:numPr>
          <w:ilvl w:val="0"/>
          <w:numId w:val="41"/>
        </w:numPr>
        <w:rPr>
          <w:b/>
          <w:bCs/>
        </w:rPr>
      </w:pPr>
      <w:r w:rsidRPr="00594F52">
        <w:rPr>
          <w:b/>
          <w:bCs/>
        </w:rPr>
        <w:t>Einführung</w:t>
      </w:r>
    </w:p>
    <w:p w14:paraId="0F6A0CD1" w14:textId="7236CA6F" w:rsidR="003E1FD7" w:rsidRDefault="001D783F" w:rsidP="001D783F">
      <w:pPr>
        <w:jc w:val="both"/>
      </w:pPr>
      <w:r w:rsidRPr="00E6596E">
        <w:rPr>
          <w:highlight w:val="yellow"/>
        </w:rPr>
        <w:t>Die EU-Erbrechtsverordnung</w:t>
      </w:r>
      <w:r>
        <w:t xml:space="preserve"> ist vor etwas mehr als zehn Jahren mit dem </w:t>
      </w:r>
      <w:r w:rsidR="00A33899">
        <w:t>primären</w:t>
      </w:r>
      <w:r>
        <w:t xml:space="preserve"> Ziel in Kraft getreten, die Hindernisse und Schwierigkeiten abzubauen, denen Berechtigte bei der Durchsetzung ihrer Rechte in grenzüberschreitenden Erbfällen ausgesetzt </w:t>
      </w:r>
      <w:r w:rsidR="004923D1">
        <w:t>sind</w:t>
      </w:r>
      <w:r>
        <w:t xml:space="preserve"> (</w:t>
      </w:r>
      <w:proofErr w:type="spellStart"/>
      <w:r>
        <w:t>ErwG</w:t>
      </w:r>
      <w:proofErr w:type="spellEnd"/>
      <w:r>
        <w:t xml:space="preserve"> 7). </w:t>
      </w:r>
      <w:r w:rsidR="004923D1">
        <w:t>Um dieses Ziel zu erreichen,</w:t>
      </w:r>
      <w:r>
        <w:t xml:space="preserve"> verfolgt die Verordnung eine mehrschichtige Vereinheitlichungsstrategie</w:t>
      </w:r>
      <w:r w:rsidR="004923D1">
        <w:t>.</w:t>
      </w:r>
      <w:r>
        <w:t xml:space="preserve"> Auf verfahrensrechtlicher Ebene regelt sie einheitlich die internationale Zuständigkeit sowie die Anerkennung und </w:t>
      </w:r>
      <w:r w:rsidR="000D04A3">
        <w:t>Vollstreckung von</w:t>
      </w:r>
      <w:r>
        <w:t xml:space="preserve"> Entscheidungen</w:t>
      </w:r>
      <w:r w:rsidR="000D04A3">
        <w:t xml:space="preserve"> und die Annahme und Vollstreckung</w:t>
      </w:r>
      <w:r w:rsidR="004923D1">
        <w:t xml:space="preserve"> </w:t>
      </w:r>
      <w:r>
        <w:t>öffentliche</w:t>
      </w:r>
      <w:r w:rsidR="003426E7">
        <w:t>r</w:t>
      </w:r>
      <w:r>
        <w:t xml:space="preserve"> Urkunden. Auf kollisionsrechtlicher Ebene vereinheitlicht sie die Anknüpfungskriterien für das anwendbare Recht und etabliert den Grundsatz der Nachlasseinheit</w:t>
      </w:r>
      <w:r w:rsidR="004923D1">
        <w:t>, wonach das gesamte Nachlassvermögen grundsätzlich ein und demselben Recht unterliegt, unabhängig davon, in welchem Staat sich Nachlasswerte befinden</w:t>
      </w:r>
      <w:r>
        <w:t xml:space="preserve">. Flankierend wird dieses System durch das Europäische Nachlasszeugnis ergänzt, das die Bescheinigung erbrechtlicher </w:t>
      </w:r>
      <w:r w:rsidR="003426E7">
        <w:t>Ansprüche</w:t>
      </w:r>
      <w:r>
        <w:t xml:space="preserve"> im grenzüberschreitenden Rechtsverkehr erleichtert und deren Durchsetzung unterstützt.</w:t>
      </w:r>
    </w:p>
    <w:p w14:paraId="29878040" w14:textId="2FC902C8" w:rsidR="00206133" w:rsidRPr="00206133" w:rsidRDefault="00206133" w:rsidP="00206133">
      <w:pPr>
        <w:pStyle w:val="Listenabsatz"/>
        <w:numPr>
          <w:ilvl w:val="0"/>
          <w:numId w:val="41"/>
        </w:numPr>
        <w:jc w:val="both"/>
        <w:rPr>
          <w:b/>
          <w:bCs/>
        </w:rPr>
      </w:pPr>
      <w:r w:rsidRPr="00206133">
        <w:rPr>
          <w:b/>
          <w:bCs/>
        </w:rPr>
        <w:t>Praktische Herausforderungen in den Mitgliedstaaten im Lichte der Rechtsprechung des EuGH</w:t>
      </w:r>
    </w:p>
    <w:p w14:paraId="1C8ACC1D" w14:textId="38FE3844" w:rsidR="003426E7" w:rsidRDefault="003426E7" w:rsidP="001D783F">
      <w:pPr>
        <w:jc w:val="both"/>
      </w:pPr>
      <w:r w:rsidRPr="00947E4E">
        <w:rPr>
          <w:highlight w:val="yellow"/>
        </w:rPr>
        <w:t>Dieses mehrschichtige System</w:t>
      </w:r>
      <w:r>
        <w:t xml:space="preserve"> hat sich weitgehend bewährt. Aus den Erfahrungen mit der Umsetzung der Erbrechtsverordnung in den Mitgliedstaaten wissen wir jedoch, dass</w:t>
      </w:r>
      <w:r w:rsidR="00143B21">
        <w:t xml:space="preserve"> sich</w:t>
      </w:r>
      <w:r>
        <w:t xml:space="preserve"> in der praktischen Anwendung </w:t>
      </w:r>
      <w:r w:rsidR="006739D1">
        <w:t>unterschiedliche</w:t>
      </w:r>
      <w:r w:rsidR="00143B21">
        <w:t xml:space="preserve"> Schwierigkeiten gezeigt ha</w:t>
      </w:r>
      <w:r w:rsidR="006739D1">
        <w:t>ben</w:t>
      </w:r>
      <w:r w:rsidR="00143B21">
        <w:t>.</w:t>
      </w:r>
      <w:r w:rsidR="008703E4">
        <w:t xml:space="preserve"> Diese betreffen vor allem die Reichweite des Erbstatuts, die Auslegung des Begriffs des gewöhnlichen Aufenthalts als zentraler Anknüpfungspunkt der Verordnung und die Verwendbarkeit des Europäischen Nachlasszeugnisses für die Zwecke der Eintragung </w:t>
      </w:r>
      <w:r w:rsidR="007C2321">
        <w:t>in die nationalen</w:t>
      </w:r>
      <w:r w:rsidR="008703E4">
        <w:t xml:space="preserve"> Immobilienregister.  </w:t>
      </w:r>
      <w:r w:rsidR="00143B21">
        <w:t xml:space="preserve">  </w:t>
      </w:r>
    </w:p>
    <w:p w14:paraId="22FBC35A" w14:textId="77777777" w:rsidR="00756EFC" w:rsidRDefault="008703E4" w:rsidP="001D783F">
      <w:pPr>
        <w:jc w:val="both"/>
      </w:pPr>
      <w:r>
        <w:t xml:space="preserve">Zu all diesen Fragen hat sich der EuGH bereits geäußert und eine Reihe von Klärungen geliefert. </w:t>
      </w:r>
      <w:r w:rsidR="00143B21">
        <w:t xml:space="preserve"> </w:t>
      </w:r>
    </w:p>
    <w:p w14:paraId="44EB0351" w14:textId="6122CFFB" w:rsidR="007F5F47" w:rsidRDefault="00571137" w:rsidP="00571137">
      <w:pPr>
        <w:jc w:val="both"/>
      </w:pPr>
      <w:r w:rsidRPr="00D020E1">
        <w:rPr>
          <w:highlight w:val="yellow"/>
        </w:rPr>
        <w:t xml:space="preserve">Hinsichtlich der </w:t>
      </w:r>
      <w:r w:rsidRPr="00D020E1">
        <w:rPr>
          <w:b/>
          <w:bCs/>
          <w:highlight w:val="yellow"/>
        </w:rPr>
        <w:t>Reichweite des Erbstatuts</w:t>
      </w:r>
      <w:r>
        <w:t xml:space="preserve"> verfolgt der EuGH in Anlehnung an Erwägungsgrund 9 einen sehr breiten Ansatz. Demnach erfasst das Erbstatut jede Form des Übergangs von Vermögenswerten, Rechten und Pflichten von Todes wegen. Beispielhaft zeigt sich dies in den Entscheidungen </w:t>
      </w:r>
      <w:r w:rsidRPr="007F5F47">
        <w:rPr>
          <w:i/>
          <w:iCs/>
        </w:rPr>
        <w:t>Mahnkopf</w:t>
      </w:r>
      <w:r>
        <w:t xml:space="preserve"> (C-558/16) und UM (C-277/20). Demnach fällt eine funktional güterrechtliche Regelung unter das Erbstatut, wenn sie als Erbteilerhöhung ausgestaltet ist. Ebenso fällt ein lebzeitiger Schenkungsvertrag unter das Erbstatut, wenn er für den Todesfall die Übertragung von Eigentum an einem Nachlassgrundstück vorsieht. Diese weite, funktionale Auslegung hat der Gerichtshof jüngst in der Entscheidung </w:t>
      </w:r>
      <w:proofErr w:type="spellStart"/>
      <w:r w:rsidRPr="007F5F47">
        <w:rPr>
          <w:i/>
          <w:iCs/>
        </w:rPr>
        <w:t>Isergartler</w:t>
      </w:r>
      <w:proofErr w:type="spellEnd"/>
      <w:r>
        <w:t xml:space="preserve"> (C-618/24) weiter bestätigt. Danach fällt auch ein gesetzliches Vermächtnis zugunsten einer Person, die den Erblasser zu Lebzeiten gepflegt hat, unter den Begriff der „Rechtsnachfolge von Todes wegen“, sofern die betreffende Regelung erst mit dem Tod wirksam wird und einen engen strukturellen Zusammenhang mit der Nachlassabwicklung aufweist. Maßgeblich ist insoweit, dass die betreffende Rechtsposition ihre Wirkung im Rahmen der Nachlassabwicklung entfaltet und auf die Begründung von Rechten gegenüber dem Nachlass gerichtet ist.</w:t>
      </w:r>
      <w:r w:rsidR="007F5F47">
        <w:t xml:space="preserve"> </w:t>
      </w:r>
      <w:r>
        <w:t xml:space="preserve">Im Wesentlichen kommt es somit für die Bestimmung </w:t>
      </w:r>
      <w:r w:rsidR="00C50FF7">
        <w:t>der Reichweite des</w:t>
      </w:r>
      <w:r w:rsidR="00C50FF7">
        <w:t xml:space="preserve"> </w:t>
      </w:r>
      <w:r>
        <w:t>Erbstatuts stets darauf an, ob durch ein bestimmtes Rechtsinstitut im Zeitpunkt des Todes Rechte gegenüber dem Nachlass begründet werden.</w:t>
      </w:r>
    </w:p>
    <w:p w14:paraId="2FCC15EF" w14:textId="0AA4BDF7" w:rsidR="00756EFC" w:rsidRDefault="00756EFC" w:rsidP="00571137">
      <w:pPr>
        <w:jc w:val="both"/>
      </w:pPr>
      <w:r w:rsidRPr="00E6596E">
        <w:rPr>
          <w:highlight w:val="yellow"/>
        </w:rPr>
        <w:lastRenderedPageBreak/>
        <w:t xml:space="preserve">In Bezug auf die </w:t>
      </w:r>
      <w:r w:rsidRPr="00E6596E">
        <w:rPr>
          <w:b/>
          <w:bCs/>
          <w:highlight w:val="yellow"/>
        </w:rPr>
        <w:t>Definition des gewöhnlichen Aufenthalts</w:t>
      </w:r>
      <w:r>
        <w:t xml:space="preserve"> stützt sich der EuGH auf die Erwägungsgründe 23 und 24 der Verordnung und unterstreicht in der Entscheidung E.E. (C</w:t>
      </w:r>
      <w:r w:rsidR="000274C1">
        <w:t>-</w:t>
      </w:r>
      <w:r>
        <w:t xml:space="preserve">80/19), dass es auf eine Gesamtwürdigung der Lebensumstände des Erblassers vor seinem Tod ankommt. Besonders bedeutsam sind dabei die Dauer und Regelmäßigkeit der Anwesenheit sowie die Bedingungen und Gründe des Aufenthalts. Der gewöhnliche Aufenthalt zeigt sich im Ergebnis durch eine besonders enge und feste Verbindung zu dem betreffenden Staat. </w:t>
      </w:r>
      <w:r w:rsidR="000C1D11">
        <w:t>Bei</w:t>
      </w:r>
      <w:r>
        <w:t xml:space="preserve"> Personen mit mehreren Wechselaufenthalten oder viel Reisetätigkeit können auch die Staatsangehörigkeit und die Lage der Hauptvermögenswerte als wichtige Indizien, aber nicht als selbständige Ersatzkriterien herangezogen werden</w:t>
      </w:r>
      <w:r w:rsidR="000C1D11">
        <w:t xml:space="preserve">. Im Ergebnis kann es </w:t>
      </w:r>
      <w:r w:rsidR="00BC6BAF">
        <w:t xml:space="preserve">nach Ansicht des EuGH </w:t>
      </w:r>
      <w:r w:rsidR="000C1D11">
        <w:t xml:space="preserve">zur Wahrung der Nachlasseinheit aber stets nur einen gewöhnlichen Aufenthalt in einem einzigen Staat geben. </w:t>
      </w:r>
    </w:p>
    <w:p w14:paraId="0EE6C56D" w14:textId="5BFE999D" w:rsidR="00206133" w:rsidRDefault="00206133" w:rsidP="00206133">
      <w:pPr>
        <w:jc w:val="both"/>
      </w:pPr>
      <w:r w:rsidRPr="00F019E4">
        <w:rPr>
          <w:highlight w:val="yellow"/>
        </w:rPr>
        <w:t xml:space="preserve">Hinsichtlich der </w:t>
      </w:r>
      <w:r w:rsidRPr="00F019E4">
        <w:rPr>
          <w:b/>
          <w:bCs/>
          <w:highlight w:val="yellow"/>
        </w:rPr>
        <w:t>Verwendbarkeit des ENZ</w:t>
      </w:r>
      <w:r>
        <w:t xml:space="preserve"> bei Registerbehörden in den Mitgliedstaaten hat sich der EuGH in der Rechtssache C-354/21, </w:t>
      </w:r>
      <w:proofErr w:type="spellStart"/>
      <w:r>
        <w:t>Registrų</w:t>
      </w:r>
      <w:proofErr w:type="spellEnd"/>
      <w:r>
        <w:t xml:space="preserve"> </w:t>
      </w:r>
      <w:proofErr w:type="spellStart"/>
      <w:r>
        <w:t>centras</w:t>
      </w:r>
      <w:proofErr w:type="spellEnd"/>
      <w:r>
        <w:t xml:space="preserve">, geäußert. Demnach ist hinzunehmen, dass ein Mitgliedstaat die Eintragung des im ENZ ausgewiesenen Berechtigten im Liegenschaftsregister ablehnen darf, wenn das nationale Recht für die Eintragung weitergehende Bescheinigungen verlangt. Im derzeit anhängigen Verfahren C-873/24, </w:t>
      </w:r>
      <w:proofErr w:type="spellStart"/>
      <w:r w:rsidRPr="00021154">
        <w:rPr>
          <w:i/>
          <w:iCs/>
        </w:rPr>
        <w:t>Marwanak</w:t>
      </w:r>
      <w:proofErr w:type="spellEnd"/>
      <w:r>
        <w:t>, hat der EuGH zu entscheiden, ob die ausstellende Behörde im Europäischen Nachlasszeugnis zusätzliche, nach dem Recht des Belegenheitsstaats der Liegenschaft erforderliche Angaben aufnehmen muss, um dem Erben die Eintragung im dortigen Liegenschaftsregister allein auf Grundlage des ENZ zu ermöglichen. Folgt der EuGH den Schlussanträgen des Generalanwalts, der eine solche Pflicht verneint, wird die Nützlichkeit des ENZ für Zwecke der Registereintragung zwar eingeschränkt</w:t>
      </w:r>
      <w:r w:rsidR="00347AC6">
        <w:t>,</w:t>
      </w:r>
      <w:r>
        <w:t xml:space="preserve"> </w:t>
      </w:r>
      <w:r w:rsidR="00347AC6">
        <w:t>s</w:t>
      </w:r>
      <w:r>
        <w:t xml:space="preserve">eine Kernfunktion wird dadurch jedoch nicht in Frage gestellt, denn das ENZ bescheinigt </w:t>
      </w:r>
      <w:r w:rsidR="00B872EA">
        <w:t xml:space="preserve">in erster Linie </w:t>
      </w:r>
      <w:r>
        <w:t>den Status sowie die Rechte und Befugnisse der am Nachlass Berechtigten. Dementsprechend hat die Registerbehörde gemäß Art 69 Abs 5 EuErbVO diese Angaben als nachgewiesen anzuerkennen</w:t>
      </w:r>
      <w:r w:rsidR="00FC4248">
        <w:t xml:space="preserve"> und darf hierüber keine weiteren Bescheinigungen verlangen. Es bleibt den Mitgliedstaaten aber unbenommen, über die Bestätigung des Status hinaus</w:t>
      </w:r>
      <w:r w:rsidR="00EF2632">
        <w:t xml:space="preserve"> weitere Unterlagen zur Eintragung zu verlangen. Es besteht daher keine Pflicht das</w:t>
      </w:r>
      <w:r>
        <w:t xml:space="preserve"> ENZ als alleinige Eintragungsgrundlage zu akzeptieren.</w:t>
      </w:r>
      <w:r w:rsidR="00EF2632">
        <w:t xml:space="preserve"> Allerdings wäre es </w:t>
      </w:r>
      <w:r w:rsidR="00C7182A">
        <w:t xml:space="preserve">wünschenswert, wenn das ENZ künftig auch die von den Behörden des </w:t>
      </w:r>
      <w:r w:rsidR="00C06821">
        <w:t xml:space="preserve">Verwendungsstaats geforderten Angaben enthält, weil dadurch </w:t>
      </w:r>
      <w:r w:rsidR="00B0090F">
        <w:t>seine praktische Bedeutung deutlich gesteigert werden könnte.</w:t>
      </w:r>
      <w:r w:rsidR="005B7E0C">
        <w:t xml:space="preserve"> Eine Änderung der Verordnung wäre für diesen Zweck </w:t>
      </w:r>
      <w:r w:rsidR="00237EB3">
        <w:t>selbstverständlich nicht erforderlich.</w:t>
      </w:r>
      <w:r w:rsidR="005B7E0C">
        <w:t xml:space="preserve"> </w:t>
      </w:r>
    </w:p>
    <w:p w14:paraId="2DEBF2C8" w14:textId="1769C267" w:rsidR="00756EFC" w:rsidRPr="00F019E4" w:rsidRDefault="00206133" w:rsidP="00206133">
      <w:pPr>
        <w:pStyle w:val="Listenabsatz"/>
        <w:numPr>
          <w:ilvl w:val="0"/>
          <w:numId w:val="41"/>
        </w:numPr>
        <w:jc w:val="both"/>
        <w:rPr>
          <w:b/>
          <w:bCs/>
          <w:highlight w:val="yellow"/>
        </w:rPr>
      </w:pPr>
      <w:r w:rsidRPr="00F019E4">
        <w:rPr>
          <w:b/>
          <w:bCs/>
          <w:highlight w:val="yellow"/>
        </w:rPr>
        <w:t>Reformüberlegungen</w:t>
      </w:r>
    </w:p>
    <w:p w14:paraId="18EC5861" w14:textId="5F0C5842" w:rsidR="00D560BF" w:rsidRPr="00D560BF" w:rsidRDefault="00D560BF" w:rsidP="00D560BF">
      <w:pPr>
        <w:pStyle w:val="Listenabsatz"/>
        <w:numPr>
          <w:ilvl w:val="0"/>
          <w:numId w:val="42"/>
        </w:numPr>
        <w:jc w:val="both"/>
        <w:rPr>
          <w:b/>
          <w:bCs/>
        </w:rPr>
      </w:pPr>
      <w:r w:rsidRPr="00D560BF">
        <w:rPr>
          <w:b/>
          <w:bCs/>
        </w:rPr>
        <w:t>Kein normatives, sondern ein praktisches Problem</w:t>
      </w:r>
    </w:p>
    <w:p w14:paraId="4F53B445" w14:textId="2D44F6B9" w:rsidR="00206133" w:rsidRDefault="00206133" w:rsidP="00206133">
      <w:pPr>
        <w:jc w:val="both"/>
      </w:pPr>
      <w:r w:rsidRPr="00206133">
        <w:t>Vor dem Hintergrund der Erfahrungen mit der Anwendung der EuErbVO in den Mitgliedstaaten</w:t>
      </w:r>
      <w:r>
        <w:t xml:space="preserve"> lässt sich die Frage formulieren, ob </w:t>
      </w:r>
      <w:r w:rsidR="00262785">
        <w:t xml:space="preserve">die Verordnung nach zehn Jahren ihrer Anwendung einer Reform bedarf. Analysiert man die Berichte aus den Mitgliedstaaten, die im letzten Jahr im </w:t>
      </w:r>
      <w:proofErr w:type="spellStart"/>
      <w:r w:rsidR="00262785">
        <w:t>Yearbook</w:t>
      </w:r>
      <w:proofErr w:type="spellEnd"/>
      <w:r w:rsidR="00262785">
        <w:t xml:space="preserve"> on Private International Law erschienen sind, wird man feststellen, dass es keine solchen Reformrufe gibt. Existierende Anwendungsprobleme in den Mitgliedstaaten liegen nicht an der Verordnung selbst, </w:t>
      </w:r>
      <w:r w:rsidR="00BB7E2D">
        <w:t xml:space="preserve">sondern vielmehr an ihrer Anwendung im Zusammenspiel mit nationalen Verfahrensordnungen, institutionellen Strukturen und Verwaltungspraktiken. Die in der Praxis auftauchenden Schwierigkeiten lassen sich daher weniger durch eine Reform der </w:t>
      </w:r>
      <w:r w:rsidR="0069063E">
        <w:t>Verordnung</w:t>
      </w:r>
      <w:r w:rsidR="00BB7E2D">
        <w:t xml:space="preserve"> beheben, sondern erfordern vor allem eine Verbesserung der praktischen Anwendung, eine stärkere Koordination zwischen den beteiligten Behörden und eine bessere </w:t>
      </w:r>
      <w:r w:rsidR="00C6498E">
        <w:t>Integration in die</w:t>
      </w:r>
      <w:r w:rsidR="00BB7E2D">
        <w:t xml:space="preserve"> nationalen System</w:t>
      </w:r>
      <w:r w:rsidR="00C6498E">
        <w:t>e</w:t>
      </w:r>
      <w:r w:rsidR="00BB7E2D">
        <w:t>.</w:t>
      </w:r>
    </w:p>
    <w:p w14:paraId="31F87099" w14:textId="0391395C" w:rsidR="00D560BF" w:rsidRPr="00D560BF" w:rsidRDefault="00D560BF" w:rsidP="00D560BF">
      <w:pPr>
        <w:pStyle w:val="Listenabsatz"/>
        <w:numPr>
          <w:ilvl w:val="0"/>
          <w:numId w:val="42"/>
        </w:numPr>
        <w:jc w:val="both"/>
        <w:rPr>
          <w:b/>
          <w:bCs/>
        </w:rPr>
      </w:pPr>
      <w:r w:rsidRPr="00D560BF">
        <w:rPr>
          <w:b/>
          <w:bCs/>
        </w:rPr>
        <w:lastRenderedPageBreak/>
        <w:t xml:space="preserve">Empirischer Befund eines Umsetzungsdefizits </w:t>
      </w:r>
    </w:p>
    <w:p w14:paraId="66EBDD3E" w14:textId="1F4E4D70" w:rsidR="00BB7E2D" w:rsidRDefault="00BB7E2D" w:rsidP="00206133">
      <w:pPr>
        <w:jc w:val="both"/>
      </w:pPr>
      <w:r>
        <w:t xml:space="preserve">Dieses Umsetzungsdefizit </w:t>
      </w:r>
      <w:r w:rsidR="00461713">
        <w:t>zeigt</w:t>
      </w:r>
      <w:r>
        <w:t xml:space="preserve"> sich besonders deutlich anhand der Ergebnisse des MAPE-Projekts</w:t>
      </w:r>
      <w:r w:rsidR="00461713">
        <w:t>, das</w:t>
      </w:r>
      <w:r>
        <w:t xml:space="preserve"> die Anwendung der Verordnung in einer Vielzahl von Mitgliedstaaten untersucht</w:t>
      </w:r>
      <w:r w:rsidR="00461713">
        <w:t xml:space="preserve"> hat. Es </w:t>
      </w:r>
      <w:r>
        <w:t>kommt zu dem zentralen Befund, dass die bestehenden Probleme in erster Linie praktischer und operativer Natur sind.</w:t>
      </w:r>
      <w:r w:rsidR="00461713">
        <w:t xml:space="preserve"> Das MAPE-Projekt zeigt zum Beispiel, dass die Nutzung des ENZ in der Praxis hinter den Erwartungen zurückbleibt. Als Gründe werden vor allem seine Komplexität, unterschiedliche Anforderungen nationaler Behörden sowie Unsicherheiten in Bezug auf seine Wirkungen genannt. </w:t>
      </w:r>
    </w:p>
    <w:p w14:paraId="19FD7DB5" w14:textId="02CD9F5C" w:rsidR="00D560BF" w:rsidRPr="00D560BF" w:rsidRDefault="00D560BF" w:rsidP="00D560BF">
      <w:pPr>
        <w:pStyle w:val="Listenabsatz"/>
        <w:numPr>
          <w:ilvl w:val="0"/>
          <w:numId w:val="42"/>
        </w:numPr>
        <w:jc w:val="both"/>
        <w:rPr>
          <w:b/>
          <w:bCs/>
        </w:rPr>
      </w:pPr>
      <w:r w:rsidRPr="00D560BF">
        <w:rPr>
          <w:b/>
          <w:bCs/>
        </w:rPr>
        <w:t xml:space="preserve">Defizite in der </w:t>
      </w:r>
      <w:r>
        <w:rPr>
          <w:b/>
          <w:bCs/>
        </w:rPr>
        <w:t>behördlichen</w:t>
      </w:r>
      <w:r w:rsidRPr="00D560BF">
        <w:rPr>
          <w:b/>
          <w:bCs/>
        </w:rPr>
        <w:t xml:space="preserve"> Zusammenarbeit</w:t>
      </w:r>
    </w:p>
    <w:p w14:paraId="02B850B1" w14:textId="04003749" w:rsidR="00461713" w:rsidRDefault="00461713" w:rsidP="00206133">
      <w:pPr>
        <w:jc w:val="both"/>
      </w:pPr>
      <w:r>
        <w:t xml:space="preserve">Das MAPE-Projekt zeigt auch Defizite in der Zusammenarbeit zwischen den Behörden unterschiedlicher Mitgliedstaaten auf. Die Kommunikation zwischen diesen </w:t>
      </w:r>
      <w:r>
        <w:br/>
        <w:t>ist häufig nicht standardisiert, und es fehlen technische sowie organisatorische Strukturen, die einen effizienten Informationsaustausch ermöglichen würden</w:t>
      </w:r>
      <w:r w:rsidR="00B934EC">
        <w:t>, wie er etwa in Art</w:t>
      </w:r>
      <w:r w:rsidR="00AE1D4C">
        <w:t> </w:t>
      </w:r>
      <w:r w:rsidR="00B934EC">
        <w:t>66</w:t>
      </w:r>
      <w:r w:rsidR="00AE1D4C">
        <w:t> </w:t>
      </w:r>
      <w:r w:rsidR="007465A9">
        <w:t>Abs</w:t>
      </w:r>
      <w:r w:rsidR="00AE1D4C">
        <w:t> </w:t>
      </w:r>
      <w:r w:rsidR="00B934EC">
        <w:t xml:space="preserve">5 </w:t>
      </w:r>
      <w:proofErr w:type="spellStart"/>
      <w:r w:rsidR="00AE1D4C">
        <w:t>EuErbVO</w:t>
      </w:r>
      <w:proofErr w:type="spellEnd"/>
      <w:r w:rsidR="00AE1D4C">
        <w:t xml:space="preserve"> </w:t>
      </w:r>
      <w:r w:rsidR="00B934EC">
        <w:t>im Zusammenhang mit der Prüfung des Antrags für ein ENZ vorgesehen ist</w:t>
      </w:r>
      <w:r>
        <w:t>.</w:t>
      </w:r>
      <w:r w:rsidR="0034252E">
        <w:t xml:space="preserve"> </w:t>
      </w:r>
      <w:r w:rsidR="00D560BF">
        <w:t>Der Informationsaustausch gemäß Art 77</w:t>
      </w:r>
      <w:r w:rsidR="00AE1D4C">
        <w:t xml:space="preserve"> </w:t>
      </w:r>
      <w:proofErr w:type="spellStart"/>
      <w:r w:rsidR="00AE1D4C">
        <w:t>EuErbVO</w:t>
      </w:r>
      <w:proofErr w:type="spellEnd"/>
      <w:r w:rsidR="00D560BF">
        <w:t xml:space="preserve"> über das e</w:t>
      </w:r>
      <w:r w:rsidR="0078755A">
        <w:t>-</w:t>
      </w:r>
      <w:r w:rsidR="00AE68CE">
        <w:t>J</w:t>
      </w:r>
      <w:r w:rsidR="00D560BF">
        <w:t xml:space="preserve">ustice Portal sollte </w:t>
      </w:r>
      <w:r w:rsidR="007C7CA7">
        <w:t xml:space="preserve">daher jedenfalls </w:t>
      </w:r>
      <w:r w:rsidR="00D560BF">
        <w:t>optimiert werden.</w:t>
      </w:r>
    </w:p>
    <w:p w14:paraId="40AA3B17" w14:textId="31AA2EA1" w:rsidR="00CB6AA0" w:rsidRPr="00CB6AA0" w:rsidRDefault="00CB6AA0" w:rsidP="00CB6AA0">
      <w:pPr>
        <w:pStyle w:val="Listenabsatz"/>
        <w:numPr>
          <w:ilvl w:val="0"/>
          <w:numId w:val="42"/>
        </w:numPr>
        <w:jc w:val="both"/>
        <w:rPr>
          <w:b/>
          <w:bCs/>
        </w:rPr>
      </w:pPr>
      <w:r w:rsidRPr="00CB6AA0">
        <w:rPr>
          <w:b/>
          <w:bCs/>
        </w:rPr>
        <w:t xml:space="preserve">Fehlende Koordination und Parallelverfahren </w:t>
      </w:r>
    </w:p>
    <w:p w14:paraId="7772B27D" w14:textId="1755951C" w:rsidR="00CB6AA0" w:rsidRDefault="00B934EC" w:rsidP="000A35A9">
      <w:pPr>
        <w:jc w:val="both"/>
      </w:pPr>
      <w:r>
        <w:t>Die</w:t>
      </w:r>
      <w:r w:rsidR="00461713">
        <w:t xml:space="preserve"> Verordnung </w:t>
      </w:r>
      <w:r>
        <w:t xml:space="preserve">setzt </w:t>
      </w:r>
      <w:r w:rsidR="00461713">
        <w:t>ein hohes Maß an Koordination, Information und administrativer Integration voraus, das in der Praxis bislang nur teilweise erreicht ist.</w:t>
      </w:r>
      <w:r w:rsidR="000A35A9">
        <w:t xml:space="preserve"> Praktische Anwendungsprobleme in den Mitgliedstaaten </w:t>
      </w:r>
      <w:r w:rsidR="001F1F16">
        <w:t>sind</w:t>
      </w:r>
      <w:r w:rsidR="000A35A9">
        <w:t xml:space="preserve"> in erster Linie darauf zurückführen</w:t>
      </w:r>
      <w:r w:rsidR="001F1F16">
        <w:t>. D</w:t>
      </w:r>
      <w:r w:rsidR="000A35A9">
        <w:t>ass es</w:t>
      </w:r>
      <w:r w:rsidR="002C7436">
        <w:t xml:space="preserve"> hinsichtlich desselben Erbfalls</w:t>
      </w:r>
      <w:r w:rsidR="000A35A9">
        <w:t xml:space="preserve"> in mehreren Mitgliedstaaten immer wieder zu Parallelverfahren kommt, hängt </w:t>
      </w:r>
      <w:r w:rsidR="00A619E8">
        <w:t xml:space="preserve">in erster Linie </w:t>
      </w:r>
      <w:r w:rsidR="000A35A9">
        <w:t>damit zusammen, dass mitgliedstaatliche Behörden</w:t>
      </w:r>
      <w:r w:rsidR="00D51E70">
        <w:t xml:space="preserve"> (Notare, Gerichte, Verwaltungsbehörden)</w:t>
      </w:r>
      <w:r w:rsidR="000A35A9">
        <w:t xml:space="preserve"> unabhängig voneinander operieren und häufig nur durch Zufall voneinander erfahren. </w:t>
      </w:r>
      <w:r w:rsidR="00594F52">
        <w:t xml:space="preserve">Eine elektronische Datenbank, die Auskunft über behängende Verfahren im selben Erbfall in den übrigen Mitgliedstaaten geben könnte, gibt es nicht und lässt sich wohl auch nicht so einfach realisieren. </w:t>
      </w:r>
      <w:r w:rsidR="00A344FB">
        <w:t>Das Fehlen</w:t>
      </w:r>
      <w:r w:rsidR="00594F52">
        <w:t xml:space="preserve"> eines solchen Informationssystems führt aber zu </w:t>
      </w:r>
      <w:r w:rsidR="00C709BB">
        <w:t>erheblichen und unausweichlichen</w:t>
      </w:r>
      <w:r w:rsidR="00594F52">
        <w:t xml:space="preserve"> Umsetzungsdefiziten.</w:t>
      </w:r>
    </w:p>
    <w:p w14:paraId="6C80F0D6" w14:textId="29E6AABB" w:rsidR="00CB6AA0" w:rsidRPr="00CB6AA0" w:rsidRDefault="00CB6AA0" w:rsidP="00CB6AA0">
      <w:pPr>
        <w:pStyle w:val="Listenabsatz"/>
        <w:numPr>
          <w:ilvl w:val="0"/>
          <w:numId w:val="42"/>
        </w:numPr>
        <w:jc w:val="both"/>
        <w:rPr>
          <w:b/>
          <w:bCs/>
        </w:rPr>
      </w:pPr>
      <w:r w:rsidRPr="00CB6AA0">
        <w:rPr>
          <w:b/>
          <w:bCs/>
        </w:rPr>
        <w:t>Koordinationsbedarf beim ENZ</w:t>
      </w:r>
    </w:p>
    <w:p w14:paraId="37A7A501" w14:textId="4945FF61" w:rsidR="00594F52" w:rsidRDefault="00594F52" w:rsidP="000A35A9">
      <w:pPr>
        <w:jc w:val="both"/>
      </w:pPr>
      <w:r>
        <w:t>Im Zusammenhang mit dem ENZ besteht ebenfalls ein solcher Koordinationsbedarf. Zu überlegen wäre diesbezüglich</w:t>
      </w:r>
      <w:r w:rsidR="0034252E">
        <w:t xml:space="preserve"> die Einrichtung eines </w:t>
      </w:r>
      <w:r w:rsidR="00C35C8E">
        <w:t xml:space="preserve">elektronischen </w:t>
      </w:r>
      <w:r w:rsidR="0034252E">
        <w:t xml:space="preserve">europäischen ENZ Registers. Die Erstellung des ENZ könnte </w:t>
      </w:r>
      <w:r w:rsidR="00C35C8E">
        <w:t>digital</w:t>
      </w:r>
      <w:r w:rsidR="0034252E">
        <w:t xml:space="preserve"> erfolgen und von der ausstellenden Behörde </w:t>
      </w:r>
      <w:r w:rsidR="00C35C8E">
        <w:t>digital</w:t>
      </w:r>
      <w:r w:rsidR="0034252E">
        <w:t xml:space="preserve"> gezeichnet werden. Dadurch könnte man</w:t>
      </w:r>
      <w:r>
        <w:t xml:space="preserve"> sicherstellen, dass für einen Erbfall </w:t>
      </w:r>
      <w:r w:rsidR="0034252E">
        <w:t>stets nur die Behörden eines</w:t>
      </w:r>
      <w:r w:rsidR="001F2C17">
        <w:t xml:space="preserve"> einzigen</w:t>
      </w:r>
      <w:r>
        <w:t xml:space="preserve"> Mitgliedstaat</w:t>
      </w:r>
      <w:r w:rsidR="0034252E">
        <w:t>s</w:t>
      </w:r>
      <w:r>
        <w:t xml:space="preserve"> </w:t>
      </w:r>
      <w:r w:rsidR="0034252E">
        <w:t xml:space="preserve">ein </w:t>
      </w:r>
      <w:r>
        <w:t>ENZ ausstellen</w:t>
      </w:r>
      <w:r w:rsidR="0034252E">
        <w:t xml:space="preserve"> können und somit keine widersprüchlichen ENZ</w:t>
      </w:r>
      <w:r w:rsidR="001F2C17">
        <w:t xml:space="preserve"> unterschiedlicher Mitgliedstaaten</w:t>
      </w:r>
      <w:r w:rsidR="0034252E">
        <w:t xml:space="preserve"> in Umlauf </w:t>
      </w:r>
      <w:r w:rsidR="00D560BF">
        <w:t>gelangen</w:t>
      </w:r>
      <w:r w:rsidR="0034252E">
        <w:t xml:space="preserve"> können. Durch die Abrufbarkeit in der zentralen Datenbank könnte</w:t>
      </w:r>
      <w:r w:rsidR="005D5729">
        <w:t>n</w:t>
      </w:r>
      <w:r w:rsidR="0034252E">
        <w:t xml:space="preserve"> auch Zweifel über die Authentizität des Zeugnisses von vornherein ausgeräumt werden</w:t>
      </w:r>
      <w:r>
        <w:t>.</w:t>
      </w:r>
      <w:r w:rsidR="001F2C17">
        <w:t xml:space="preserve"> Derzeit bestehen nämlich nicht selten Zweifel darüber, ob </w:t>
      </w:r>
      <w:r w:rsidR="006E44E5">
        <w:t>das Zeugnis von der zuständigen Behörde stammt, was im Ergebnis für den Adressaten nicht überprüfbar ist.</w:t>
      </w:r>
      <w:r w:rsidR="005D5729">
        <w:t xml:space="preserve"> Ebenso wäre bei Änderung </w:t>
      </w:r>
      <w:proofErr w:type="spellStart"/>
      <w:r w:rsidR="005D5729">
        <w:t>bzw</w:t>
      </w:r>
      <w:proofErr w:type="spellEnd"/>
      <w:r w:rsidR="005D5729">
        <w:t xml:space="preserve"> Widerruf </w:t>
      </w:r>
      <w:r w:rsidR="00C7350F">
        <w:t xml:space="preserve">des ENZ </w:t>
      </w:r>
      <w:r w:rsidR="005D5729">
        <w:t>das Zeugnis immer nur in der aktuellen Fassung verfügbar</w:t>
      </w:r>
      <w:r w:rsidR="00FF2128">
        <w:t>.</w:t>
      </w:r>
      <w:r w:rsidR="0034652D">
        <w:t xml:space="preserve"> Dies könnte ohne Änderung der EuErbVO über eine Anpassung der </w:t>
      </w:r>
      <w:proofErr w:type="spellStart"/>
      <w:r w:rsidR="0034652D">
        <w:t>DurchführungsVO</w:t>
      </w:r>
      <w:proofErr w:type="spellEnd"/>
      <w:r w:rsidR="0034652D">
        <w:t xml:space="preserve"> umgesetzt werden.</w:t>
      </w:r>
    </w:p>
    <w:p w14:paraId="0DC1FC4F" w14:textId="08ADAE4F" w:rsidR="00CB6AA0" w:rsidRPr="00CB6AA0" w:rsidRDefault="00CB6AA0" w:rsidP="00CB6AA0">
      <w:pPr>
        <w:pStyle w:val="Listenabsatz"/>
        <w:numPr>
          <w:ilvl w:val="0"/>
          <w:numId w:val="42"/>
        </w:numPr>
        <w:jc w:val="both"/>
        <w:rPr>
          <w:b/>
          <w:bCs/>
        </w:rPr>
      </w:pPr>
      <w:r w:rsidRPr="00CB6AA0">
        <w:rPr>
          <w:b/>
          <w:bCs/>
        </w:rPr>
        <w:t xml:space="preserve">Anpassungsbedarf auf mitgliedstaatlicher Ebene </w:t>
      </w:r>
    </w:p>
    <w:p w14:paraId="02A0CA98" w14:textId="15A64CC0" w:rsidR="00754071" w:rsidRDefault="00754071" w:rsidP="00754071">
      <w:pPr>
        <w:jc w:val="both"/>
      </w:pPr>
      <w:r>
        <w:lastRenderedPageBreak/>
        <w:t xml:space="preserve">Auf mitgliedstaatlicher Ebene bedarf es in einzelnen Mitgliedstaaten, die ihr nationales Recht </w:t>
      </w:r>
      <w:r w:rsidR="006F5338">
        <w:t>infolge der Einführung</w:t>
      </w:r>
      <w:r>
        <w:t xml:space="preserve"> des Europäischen Nachlasszeugnisses </w:t>
      </w:r>
      <w:r w:rsidR="006F5338">
        <w:t xml:space="preserve">nicht entsprechend </w:t>
      </w:r>
      <w:r>
        <w:t xml:space="preserve">angepasst haben, </w:t>
      </w:r>
      <w:r w:rsidR="00AF367B">
        <w:t>gesetzlicher Interventionen</w:t>
      </w:r>
      <w:r>
        <w:t>, um dieses Instrument wirksam in die nationalen Verwaltungsabläufe einzubetten.</w:t>
      </w:r>
    </w:p>
    <w:p w14:paraId="40E26E81" w14:textId="21D1F3CC" w:rsidR="00754071" w:rsidRDefault="00754071" w:rsidP="00754071">
      <w:pPr>
        <w:jc w:val="both"/>
      </w:pPr>
      <w:r>
        <w:t>Die bisherigen Erfahrungen zeigen, dass das ENZ in vielen nationalen Rechtsordnungen nicht systematisch in bestehende Verfahrens- und Registerstrukturen integriert wurde. Insbesondere fehlt es häufig an klaren Vorgaben für Behörden und Registerstellen, wie das ENZ im Einzelnen zu behandeln ist, welche Wirkungen ihm zukommen und in welchem Umfang zusätzliche Nachweise verlangt werden dürfen.</w:t>
      </w:r>
    </w:p>
    <w:p w14:paraId="49B61A10" w14:textId="3E5BD7BE" w:rsidR="00754071" w:rsidRDefault="00754071" w:rsidP="00754071">
      <w:pPr>
        <w:jc w:val="both"/>
      </w:pPr>
      <w:r>
        <w:t>Dies führt in der Praxis dazu, dass nationale Behörden das ENZ nicht als eigenständiges und hinreichendes Nachweisinstrument behandeln, sondern es faktisch durch zusätzliche Anforderungen relativieren. So werden etwa ergänzende Dokumente verlangt</w:t>
      </w:r>
      <w:r w:rsidR="00197B38">
        <w:t>, die den Status des Berechtigten betreffen,</w:t>
      </w:r>
      <w:r>
        <w:t xml:space="preserve"> oder nationale Formerfordernisse angewendet, die mit der unionsrechtlichen Konzeption des ENZ nur schwer vereinbar sind.</w:t>
      </w:r>
    </w:p>
    <w:p w14:paraId="2DF434FC" w14:textId="1D630C86" w:rsidR="000509C7" w:rsidRDefault="00754071" w:rsidP="00754071">
      <w:pPr>
        <w:jc w:val="both"/>
      </w:pPr>
      <w:r>
        <w:t xml:space="preserve">Der Umstand, dass entsprechende gesetzliche Anpassungen in vielen Mitgliedstaaten unterblieben sind, führt daher nicht selten zu einer Praxis, die die in Art 69 </w:t>
      </w:r>
      <w:proofErr w:type="spellStart"/>
      <w:r>
        <w:t>EuErbVO</w:t>
      </w:r>
      <w:proofErr w:type="spellEnd"/>
      <w:r>
        <w:t xml:space="preserve"> angelegte Wirkung des ENZ unterläuft und seine praktische Effektivität erheblich beeinträchtigt.</w:t>
      </w:r>
    </w:p>
    <w:p w14:paraId="0D6A4617" w14:textId="159D3D4B" w:rsidR="00AB74FC" w:rsidRDefault="00AB74FC" w:rsidP="00754071">
      <w:pPr>
        <w:jc w:val="both"/>
      </w:pPr>
      <w:r>
        <w:t xml:space="preserve">Eine konsequente Anpassung </w:t>
      </w:r>
      <w:r w:rsidR="00BC1BF3">
        <w:t>des mitgliedstaatlichen Rechts</w:t>
      </w:r>
      <w:r>
        <w:t xml:space="preserve"> müsste demgegenüber sicherstellen, dass das ENZ in den jeweiligen Verwaltungs- und Registerverfahren als das behandelt wird, was es unionsrechtlich ist: ein eigenständiges, unionsweit wirksames Nachweisinstrument, dessen Verwendung nicht durch zusätzliche nationale Anforderungen entwertet werden darf.</w:t>
      </w:r>
    </w:p>
    <w:p w14:paraId="4B6D99D6" w14:textId="4C85394E" w:rsidR="00CB6AA0" w:rsidRPr="00754071" w:rsidRDefault="00CB6AA0" w:rsidP="000509C7">
      <w:pPr>
        <w:pStyle w:val="Listenabsatz"/>
        <w:numPr>
          <w:ilvl w:val="0"/>
          <w:numId w:val="42"/>
        </w:numPr>
        <w:jc w:val="both"/>
        <w:rPr>
          <w:b/>
          <w:bCs/>
        </w:rPr>
      </w:pPr>
      <w:r w:rsidRPr="00754071">
        <w:rPr>
          <w:b/>
          <w:bCs/>
        </w:rPr>
        <w:t>Anpassungsbedarf auf Unionsebene</w:t>
      </w:r>
      <w:r w:rsidR="002C6AD5" w:rsidRPr="00754071">
        <w:rPr>
          <w:b/>
          <w:bCs/>
        </w:rPr>
        <w:t>: Vereinfachung des ENZ</w:t>
      </w:r>
    </w:p>
    <w:p w14:paraId="06316DDA" w14:textId="7CA4A92C" w:rsidR="00D560BF" w:rsidRDefault="00D560BF" w:rsidP="000A35A9">
      <w:pPr>
        <w:jc w:val="both"/>
      </w:pPr>
      <w:r>
        <w:t xml:space="preserve">Auf Unionsebene ist aber auch eine Vereinfachung des ENZ selbst durch Reform der </w:t>
      </w:r>
      <w:proofErr w:type="spellStart"/>
      <w:r w:rsidR="00021154">
        <w:t>Durchführugns</w:t>
      </w:r>
      <w:r>
        <w:t>sverordnung</w:t>
      </w:r>
      <w:proofErr w:type="spellEnd"/>
      <w:r>
        <w:t xml:space="preserve"> in Angriff zu nehmen.</w:t>
      </w:r>
      <w:r w:rsidR="00CF2AC7">
        <w:t xml:space="preserve"> Wie eine solche Vereinfachung </w:t>
      </w:r>
      <w:r w:rsidR="0064651F">
        <w:t xml:space="preserve">konkret aussehen könnte, haben wir </w:t>
      </w:r>
      <w:r w:rsidR="0000435A">
        <w:t xml:space="preserve">mit Vertretern der Notariatskammern Österreichs, Italiens, </w:t>
      </w:r>
      <w:r w:rsidR="00BF7B0A">
        <w:t>Sloweniens</w:t>
      </w:r>
      <w:r w:rsidR="0000435A">
        <w:t xml:space="preserve"> und Kroatiens</w:t>
      </w:r>
      <w:r w:rsidR="0064651F">
        <w:t xml:space="preserve"> i</w:t>
      </w:r>
      <w:r w:rsidR="00C21A40">
        <w:t>m</w:t>
      </w:r>
      <w:r w:rsidR="0064651F">
        <w:t xml:space="preserve"> ENN Alpe Adria Seminar in Kranjska Gora im Oktober 2025 diskutiert. </w:t>
      </w:r>
    </w:p>
    <w:p w14:paraId="7104EBAF" w14:textId="104FF881" w:rsidR="004E0BB2" w:rsidRDefault="004E0BB2" w:rsidP="004E0BB2">
      <w:pPr>
        <w:jc w:val="both"/>
      </w:pPr>
      <w:r>
        <w:t xml:space="preserve">Erforderlich wäre jedenfalls eine konsequente Reduktion der derzeitigen Komplexität des Formblatts. Das </w:t>
      </w:r>
      <w:r w:rsidR="00C21A40">
        <w:t>derzeit vorgesehene</w:t>
      </w:r>
      <w:r>
        <w:t xml:space="preserve"> Formular geht in vieler</w:t>
      </w:r>
      <w:r w:rsidR="003802EB">
        <w:t>lei</w:t>
      </w:r>
      <w:r>
        <w:t xml:space="preserve"> Hinsicht über die Anforderungen der Verordnung hinaus, ist </w:t>
      </w:r>
      <w:r w:rsidR="003802EB">
        <w:t xml:space="preserve">sehr </w:t>
      </w:r>
      <w:r>
        <w:t>umfangreich, teilweise redundant und verlangt</w:t>
      </w:r>
      <w:r w:rsidR="00530A96">
        <w:t xml:space="preserve"> die Angabe von</w:t>
      </w:r>
      <w:r>
        <w:t xml:space="preserve"> Informationen, die für die eigentliche Funktion des Zeugnisses nicht erforderlich sind</w:t>
      </w:r>
      <w:r w:rsidR="003802EB">
        <w:t xml:space="preserve"> und von der EuErbVO nicht verlangt werden</w:t>
      </w:r>
      <w:r>
        <w:t>.</w:t>
      </w:r>
    </w:p>
    <w:p w14:paraId="7E78393F" w14:textId="53FAEB81" w:rsidR="004E0BB2" w:rsidRDefault="004E0BB2" w:rsidP="004E0BB2">
      <w:pPr>
        <w:jc w:val="both"/>
      </w:pPr>
      <w:r>
        <w:t xml:space="preserve">Eine Reform sollte daher darauf abzielen, </w:t>
      </w:r>
      <w:proofErr w:type="gramStart"/>
      <w:r>
        <w:t>das</w:t>
      </w:r>
      <w:proofErr w:type="gramEnd"/>
      <w:r>
        <w:t xml:space="preserve"> ENZ stärker an den Vorgaben des Art 68 </w:t>
      </w:r>
      <w:proofErr w:type="spellStart"/>
      <w:r>
        <w:t>EuErbVO</w:t>
      </w:r>
      <w:proofErr w:type="spellEnd"/>
      <w:r>
        <w:t xml:space="preserve"> auszurichten und </w:t>
      </w:r>
      <w:r w:rsidR="00530A96">
        <w:t>dort nicht vorgesehene</w:t>
      </w:r>
      <w:r>
        <w:t xml:space="preserve"> Angaben zu streichen. Insbesondere könnten detaillierte Angaben zu letztwilligen Verfügungen, Registereintragungen oder internen Prüfungen der ausstellenden Behörde reduziert werden, da das ENZ nicht der Dokumentation des Prüfungsverfahrens dient, sondern der Bescheinigung seines Ergebnisses.</w:t>
      </w:r>
    </w:p>
    <w:p w14:paraId="5AED43E5" w14:textId="55D9C6AA" w:rsidR="004E0BB2" w:rsidRDefault="004E0BB2" w:rsidP="004E0BB2">
      <w:pPr>
        <w:jc w:val="both"/>
      </w:pPr>
      <w:r>
        <w:t xml:space="preserve">Zugleich erscheint eine strukturelle Vereinfachung </w:t>
      </w:r>
      <w:r w:rsidR="00801CB2">
        <w:t xml:space="preserve">des Formblatts </w:t>
      </w:r>
      <w:r>
        <w:t xml:space="preserve">geboten. Anstelle eines modularen Systems mit zahlreichen Anhängen sollte ein einheitliches, übersichtliches Formular treten, das alle wesentlichen Informationen in kompakter Form enthält. Dadurch ließe sich die </w:t>
      </w:r>
      <w:r>
        <w:lastRenderedPageBreak/>
        <w:t>Handhabung sowohl für die ausstellenden Behörden als auch für die Verwender des Zeugnisses erheblich erleichtern.</w:t>
      </w:r>
    </w:p>
    <w:p w14:paraId="07B7DA0E" w14:textId="0A3250AA" w:rsidR="004E0BB2" w:rsidRDefault="004E0BB2" w:rsidP="004E0BB2">
      <w:pPr>
        <w:jc w:val="both"/>
      </w:pPr>
      <w:r>
        <w:t xml:space="preserve">Ein weiterer zentraler Punkt betrifft die funktionale Ausgestaltung des ENZ im Hinblick auf seine praktische Verwendbarkeit. Das Formular sollte gezielt solche Angaben enthalten, die für seine Verwendung in nationalen Verfahren </w:t>
      </w:r>
      <w:r w:rsidR="00541FC8">
        <w:t>nützlich</w:t>
      </w:r>
      <w:r>
        <w:t xml:space="preserve"> sind, etwa </w:t>
      </w:r>
      <w:r w:rsidR="002D2F37">
        <w:t>für die</w:t>
      </w:r>
      <w:r>
        <w:t xml:space="preserve"> Eintragung in </w:t>
      </w:r>
      <w:r w:rsidR="002D2F37">
        <w:t>Liegenschaftsr</w:t>
      </w:r>
      <w:r>
        <w:t>egister</w:t>
      </w:r>
      <w:r w:rsidR="002D2F37">
        <w:t xml:space="preserve"> oder für den Zugang zu Bankkonten</w:t>
      </w:r>
      <w:r>
        <w:t xml:space="preserve">. Dies würde insbesondere die </w:t>
      </w:r>
      <w:r w:rsidR="00431A33">
        <w:t>praktische Bedeutung</w:t>
      </w:r>
      <w:r>
        <w:t xml:space="preserve"> </w:t>
      </w:r>
      <w:r w:rsidR="00431A33">
        <w:t xml:space="preserve">des ENZ als Schlüssel </w:t>
      </w:r>
      <w:r w:rsidR="00C377D7">
        <w:t>für den Zugang zu im Ausland belegenen Vermögensgegenständen erheblich steigern</w:t>
      </w:r>
      <w:r>
        <w:t>.</w:t>
      </w:r>
      <w:r w:rsidR="00F32072">
        <w:t xml:space="preserve"> Dass dies möglich ist, zeigt der Umstand, dass das Formular schon jetzt viele </w:t>
      </w:r>
      <w:r w:rsidR="00F42A66">
        <w:t>Angaben fordert, die sich den Vorgaben der EuErbVO nicht entnehmen lassen.</w:t>
      </w:r>
    </w:p>
    <w:p w14:paraId="6B02C44E" w14:textId="241B864D" w:rsidR="004E0BB2" w:rsidRDefault="004E0BB2" w:rsidP="004E0BB2">
      <w:pPr>
        <w:jc w:val="both"/>
      </w:pPr>
      <w:r>
        <w:t xml:space="preserve">Schließlich sollte die Reform auch auf eine stärkere Standardisierung der Darstellung abzielen, etwa durch klar strukturierte </w:t>
      </w:r>
      <w:r w:rsidR="009901DF">
        <w:t>Abschnitte</w:t>
      </w:r>
      <w:r>
        <w:t xml:space="preserve">, </w:t>
      </w:r>
      <w:r w:rsidR="009901DF">
        <w:t xml:space="preserve">auf ein Minimum </w:t>
      </w:r>
      <w:r>
        <w:t xml:space="preserve">reduzierte Freitextfelder und eine stärker schematisierte Erfassung der maßgeblichen Informationen. Dies würde nicht nur die </w:t>
      </w:r>
      <w:r w:rsidR="004233AB">
        <w:t>Ausfertigung</w:t>
      </w:r>
      <w:r>
        <w:t xml:space="preserve"> erleichtern</w:t>
      </w:r>
      <w:r w:rsidR="004233AB">
        <w:t xml:space="preserve"> und beschleunigen</w:t>
      </w:r>
      <w:r>
        <w:t>, sondern auch die grenzüberschreitende Verständlichkeit und Akzeptanz des Zeugnisses erhöhen.</w:t>
      </w:r>
    </w:p>
    <w:p w14:paraId="00201958" w14:textId="2D3CBB87" w:rsidR="006500D7" w:rsidRDefault="006500D7" w:rsidP="004E0BB2">
      <w:pPr>
        <w:jc w:val="both"/>
      </w:pPr>
      <w:r>
        <w:t xml:space="preserve">Die Praxis wünscht sich vor allem eine Vereinfachung des Formulars und dies sollte </w:t>
      </w:r>
      <w:r w:rsidR="0099114F">
        <w:t xml:space="preserve">sich </w:t>
      </w:r>
      <w:r>
        <w:t xml:space="preserve">ohne großen Aufwand im Rahmen einer Revision der Durchführungsverordnung zur EuErbVO </w:t>
      </w:r>
      <w:r w:rsidR="0099114F">
        <w:t>erreichen lassen.</w:t>
      </w:r>
    </w:p>
    <w:p w14:paraId="40B45B0C" w14:textId="6FE0A323" w:rsidR="00C03DDC" w:rsidRPr="00410568" w:rsidRDefault="00BF0752" w:rsidP="00410568">
      <w:pPr>
        <w:pStyle w:val="Listenabsatz"/>
        <w:numPr>
          <w:ilvl w:val="0"/>
          <w:numId w:val="42"/>
        </w:numPr>
        <w:jc w:val="both"/>
        <w:rPr>
          <w:b/>
          <w:bCs/>
        </w:rPr>
      </w:pPr>
      <w:r w:rsidRPr="00410568">
        <w:rPr>
          <w:b/>
          <w:bCs/>
        </w:rPr>
        <w:t xml:space="preserve">Reformbedarf </w:t>
      </w:r>
      <w:r w:rsidR="00277474" w:rsidRPr="00410568">
        <w:rPr>
          <w:b/>
          <w:bCs/>
        </w:rPr>
        <w:t>für</w:t>
      </w:r>
      <w:r w:rsidRPr="00410568">
        <w:rPr>
          <w:b/>
          <w:bCs/>
        </w:rPr>
        <w:t xml:space="preserve"> den d</w:t>
      </w:r>
      <w:r w:rsidR="00C03DDC" w:rsidRPr="00410568">
        <w:rPr>
          <w:b/>
          <w:bCs/>
        </w:rPr>
        <w:t>igitale</w:t>
      </w:r>
      <w:r w:rsidRPr="00410568">
        <w:rPr>
          <w:b/>
          <w:bCs/>
        </w:rPr>
        <w:t>n</w:t>
      </w:r>
      <w:r w:rsidR="00C03DDC" w:rsidRPr="00410568">
        <w:rPr>
          <w:b/>
          <w:bCs/>
        </w:rPr>
        <w:t xml:space="preserve"> Nachlass</w:t>
      </w:r>
      <w:r w:rsidRPr="00410568">
        <w:rPr>
          <w:b/>
          <w:bCs/>
        </w:rPr>
        <w:t>?</w:t>
      </w:r>
    </w:p>
    <w:p w14:paraId="764DF1C4" w14:textId="5C298AB4" w:rsidR="00C03DDC" w:rsidRDefault="00C03DDC" w:rsidP="00C03DDC">
      <w:pPr>
        <w:jc w:val="both"/>
      </w:pPr>
      <w:r>
        <w:t>Im Zusammenhang mit der fortschreitenden Digitalisierung</w:t>
      </w:r>
      <w:r w:rsidR="00192B8C">
        <w:t xml:space="preserve"> von Vermögenswerten</w:t>
      </w:r>
      <w:r w:rsidR="007663FB">
        <w:t xml:space="preserve"> und anderen persönlichen </w:t>
      </w:r>
      <w:r w:rsidR="0069483A">
        <w:t>Inhalten</w:t>
      </w:r>
      <w:r w:rsidR="00192B8C">
        <w:t xml:space="preserve"> </w:t>
      </w:r>
      <w:r w:rsidR="00F4368A">
        <w:t xml:space="preserve">im digitalen Raum </w:t>
      </w:r>
      <w:r w:rsidR="0099114F">
        <w:t>müssen wir uns</w:t>
      </w:r>
      <w:r w:rsidR="00192B8C">
        <w:t xml:space="preserve"> auch</w:t>
      </w:r>
      <w:r w:rsidR="0099114F">
        <w:t xml:space="preserve"> noch</w:t>
      </w:r>
      <w:r w:rsidR="00192B8C">
        <w:t xml:space="preserve"> der</w:t>
      </w:r>
      <w:r>
        <w:t xml:space="preserve"> Frage</w:t>
      </w:r>
      <w:r w:rsidR="00192B8C">
        <w:t xml:space="preserve"> widmen</w:t>
      </w:r>
      <w:r>
        <w:t xml:space="preserve">, ob die </w:t>
      </w:r>
      <w:r w:rsidR="00B97F83">
        <w:t>EuErbVO</w:t>
      </w:r>
      <w:r>
        <w:t xml:space="preserve"> einer Anpassung im Hinblick auf </w:t>
      </w:r>
      <w:r w:rsidR="0069483A">
        <w:t>diesen sogenannten</w:t>
      </w:r>
      <w:r>
        <w:t xml:space="preserve"> digitalen Nachlass bedarf. </w:t>
      </w:r>
      <w:r w:rsidR="000D06DE">
        <w:t>Das European Law Institute arbeitet gerade</w:t>
      </w:r>
      <w:r w:rsidR="00F4368A">
        <w:t xml:space="preserve"> an einem Vorschlag,</w:t>
      </w:r>
      <w:r w:rsidR="005517DA">
        <w:t xml:space="preserve"> wie die </w:t>
      </w:r>
      <w:proofErr w:type="spellStart"/>
      <w:r w:rsidR="005517DA">
        <w:t>E</w:t>
      </w:r>
      <w:r w:rsidR="004D191F">
        <w:t>u</w:t>
      </w:r>
      <w:r w:rsidR="005517DA">
        <w:t>ErbV</w:t>
      </w:r>
      <w:r w:rsidR="00B97F83">
        <w:t>O</w:t>
      </w:r>
      <w:proofErr w:type="spellEnd"/>
      <w:r w:rsidR="005517DA">
        <w:t xml:space="preserve"> vor diesem Hintergrund anzupassen wäre.</w:t>
      </w:r>
      <w:r w:rsidR="000D06DE">
        <w:t xml:space="preserve"> </w:t>
      </w:r>
      <w:r w:rsidR="0069483A">
        <w:t>Nachdem</w:t>
      </w:r>
      <w:r w:rsidR="007E1F12">
        <w:t xml:space="preserve"> die Verordnung</w:t>
      </w:r>
      <w:r>
        <w:t xml:space="preserve"> digitale Vermögenswerte und digitale Inhalte nicht ausdrücklich </w:t>
      </w:r>
      <w:r w:rsidR="00277474">
        <w:t>anspricht, könnte man auf einen solchen Reformbedarf schließen</w:t>
      </w:r>
      <w:r>
        <w:t>.</w:t>
      </w:r>
    </w:p>
    <w:p w14:paraId="7DB7C62F" w14:textId="6D3C76C2" w:rsidR="00C03DDC" w:rsidRDefault="00C03DDC" w:rsidP="00C03DDC">
      <w:pPr>
        <w:jc w:val="both"/>
      </w:pPr>
      <w:r>
        <w:t xml:space="preserve">Bei näherer Betrachtung zeigt sich jedoch, </w:t>
      </w:r>
      <w:r w:rsidR="00504728">
        <w:t xml:space="preserve">dass </w:t>
      </w:r>
      <w:r w:rsidR="002E3731">
        <w:t>die Verordnung auch digitale Vermögenswerte ohne weiteres erfasst</w:t>
      </w:r>
      <w:r w:rsidR="00E41827">
        <w:t xml:space="preserve"> und insofern nicht reformbedürftig ist</w:t>
      </w:r>
      <w:r w:rsidR="002E3731">
        <w:t>.</w:t>
      </w:r>
    </w:p>
    <w:p w14:paraId="195EE282" w14:textId="736EBA22" w:rsidR="009F1801" w:rsidRDefault="009F1801" w:rsidP="00C03DDC">
      <w:pPr>
        <w:jc w:val="both"/>
      </w:pPr>
      <w:r>
        <w:t xml:space="preserve">Im Zusammenhang mit dem digitalen Nachlass ist </w:t>
      </w:r>
      <w:r w:rsidR="00E41827">
        <w:t>nämlich</w:t>
      </w:r>
      <w:r w:rsidR="003C6209">
        <w:t xml:space="preserve"> zwischen zwei Kategorien von Gütern</w:t>
      </w:r>
      <w:r>
        <w:t xml:space="preserve"> zu unterscheiden: </w:t>
      </w:r>
    </w:p>
    <w:p w14:paraId="10E2D183" w14:textId="625E2793" w:rsidR="00C03DDC" w:rsidRDefault="003C6209" w:rsidP="00C03DDC">
      <w:pPr>
        <w:jc w:val="both"/>
      </w:pPr>
      <w:r>
        <w:t>D</w:t>
      </w:r>
      <w:r w:rsidR="00C03DDC">
        <w:t>igitale Vermögenswerte mit wirtschaftlichem Wert, wie Kryptowährungen, Online-</w:t>
      </w:r>
      <w:r>
        <w:t>Bankk</w:t>
      </w:r>
      <w:r w:rsidR="00C03DDC">
        <w:t xml:space="preserve">onten, Domainnamen oder </w:t>
      </w:r>
      <w:r w:rsidR="00460A71">
        <w:t>zu wirtschaftlichen Zwecken verwendete</w:t>
      </w:r>
      <w:r w:rsidR="00C03DDC">
        <w:t xml:space="preserve"> Plattformkonten</w:t>
      </w:r>
      <w:r w:rsidR="00460A71">
        <w:t xml:space="preserve"> stellen</w:t>
      </w:r>
      <w:r w:rsidR="00C03DDC">
        <w:t xml:space="preserve"> Vermögenswerte im klassischen Sinne dar und fallen daher ohne weiteres unter den weiten Begriff des Nachlasses im Sinne von Art 3 Abs 1 </w:t>
      </w:r>
      <w:proofErr w:type="spellStart"/>
      <w:r w:rsidR="00C03DDC">
        <w:t>lit</w:t>
      </w:r>
      <w:proofErr w:type="spellEnd"/>
      <w:r w:rsidR="00C03DDC">
        <w:t xml:space="preserve"> a </w:t>
      </w:r>
      <w:proofErr w:type="spellStart"/>
      <w:r w:rsidR="00C03DDC">
        <w:t>EuErbVO</w:t>
      </w:r>
      <w:proofErr w:type="spellEnd"/>
      <w:r w:rsidR="00C03DDC">
        <w:t xml:space="preserve">. </w:t>
      </w:r>
      <w:r w:rsidR="002723CD">
        <w:t>Für sie</w:t>
      </w:r>
      <w:r w:rsidR="00C03DDC">
        <w:t xml:space="preserve"> gilt</w:t>
      </w:r>
      <w:r w:rsidR="002723CD">
        <w:t xml:space="preserve"> hinsichtlich der Frage, wem diese nach dem Tod des Erblassers zufallen,</w:t>
      </w:r>
      <w:r w:rsidR="00C03DDC">
        <w:t xml:space="preserve"> das Erbstatut, sodass insbesondere die Art 21 und 22 EuErbVO zur Bestimmung des anwendbaren Rechts sowie die Zuständigkeitsregeln der Verordnung uneingeschränkt Anwendung finden. Insoweit besteht kein Anpassungsbedarf.</w:t>
      </w:r>
      <w:r w:rsidR="009678E6">
        <w:t xml:space="preserve"> Der Um</w:t>
      </w:r>
      <w:r w:rsidR="002221BC">
        <w:t>stand, dass diese</w:t>
      </w:r>
      <w:r w:rsidR="0029573D">
        <w:t xml:space="preserve"> digitalen</w:t>
      </w:r>
      <w:r w:rsidR="002221BC">
        <w:t xml:space="preserve"> Vermögenswerte an keinen bestimmten Ort gebunden </w:t>
      </w:r>
      <w:r w:rsidR="0029573D">
        <w:t xml:space="preserve">sind, rechtfertigt kein Abgehen </w:t>
      </w:r>
      <w:r w:rsidR="0057096C">
        <w:t xml:space="preserve">vom Grundsatz der Nachlasseinheit und somit von </w:t>
      </w:r>
      <w:r w:rsidR="007F04DA">
        <w:t>der Anwendung der allgemeinen Regeln auch auf diese Vermögenswerte</w:t>
      </w:r>
      <w:r w:rsidR="0057096C">
        <w:t>.</w:t>
      </w:r>
    </w:p>
    <w:p w14:paraId="6B25116F" w14:textId="746414D3" w:rsidR="00C03DDC" w:rsidRDefault="007F04DA" w:rsidP="00C03DDC">
      <w:pPr>
        <w:jc w:val="both"/>
      </w:pPr>
      <w:r>
        <w:t>Von den digitalen</w:t>
      </w:r>
      <w:r w:rsidR="00C03DDC">
        <w:t xml:space="preserve"> Vermögenswerten </w:t>
      </w:r>
      <w:r>
        <w:t>zu unterscheiden sind die</w:t>
      </w:r>
      <w:r w:rsidR="00C03DDC">
        <w:t xml:space="preserve"> </w:t>
      </w:r>
      <w:r w:rsidR="00C766DE">
        <w:t>übrigen</w:t>
      </w:r>
      <w:r w:rsidR="00C03DDC">
        <w:t xml:space="preserve"> digitalen</w:t>
      </w:r>
      <w:r w:rsidR="00C766DE">
        <w:t xml:space="preserve"> Inhalte und somit in erster Linie persönliche</w:t>
      </w:r>
      <w:r w:rsidR="00C03DDC">
        <w:t xml:space="preserve"> Daten</w:t>
      </w:r>
      <w:r w:rsidR="00C766DE">
        <w:t xml:space="preserve">, die der Erblasser </w:t>
      </w:r>
      <w:r w:rsidR="00084E4E">
        <w:t xml:space="preserve">auf </w:t>
      </w:r>
      <w:r w:rsidR="00C03DDC">
        <w:t>E-Mail</w:t>
      </w:r>
      <w:r w:rsidR="0082167D">
        <w:t>konten</w:t>
      </w:r>
      <w:r w:rsidR="00C03DDC">
        <w:t xml:space="preserve">, </w:t>
      </w:r>
      <w:r w:rsidR="0082167D">
        <w:t>Cloudkonten (</w:t>
      </w:r>
      <w:proofErr w:type="spellStart"/>
      <w:r w:rsidR="0082167D">
        <w:t>zB</w:t>
      </w:r>
      <w:proofErr w:type="spellEnd"/>
      <w:r w:rsidR="0082167D">
        <w:t xml:space="preserve"> </w:t>
      </w:r>
      <w:r w:rsidR="00C03DDC">
        <w:lastRenderedPageBreak/>
        <w:t>Fotos oder sonstige persönliche Dateien</w:t>
      </w:r>
      <w:r w:rsidR="0082167D">
        <w:t>) oder Social Media Konten hinterlässt</w:t>
      </w:r>
      <w:r w:rsidR="00C03DDC">
        <w:t xml:space="preserve">. Diese haben </w:t>
      </w:r>
      <w:r w:rsidR="00757BE1">
        <w:t xml:space="preserve">in aller Regel </w:t>
      </w:r>
      <w:r w:rsidR="00C03DDC">
        <w:t xml:space="preserve">keinen Vermögenswert, sondern </w:t>
      </w:r>
      <w:r w:rsidR="00751F61">
        <w:t>bestehen aus Daten über</w:t>
      </w:r>
      <w:r w:rsidR="00C03DDC">
        <w:t xml:space="preserve"> die persönliche Sphäre des Verstorbenen sowie </w:t>
      </w:r>
      <w:r w:rsidR="009F5326">
        <w:t>allfälliger</w:t>
      </w:r>
      <w:r w:rsidR="00C03DDC">
        <w:t xml:space="preserve"> Dritter</w:t>
      </w:r>
      <w:r w:rsidR="009F5326">
        <w:t xml:space="preserve">, die </w:t>
      </w:r>
      <w:proofErr w:type="spellStart"/>
      <w:r w:rsidR="009F5326">
        <w:t>zB</w:t>
      </w:r>
      <w:proofErr w:type="spellEnd"/>
      <w:r w:rsidR="009F5326">
        <w:t xml:space="preserve"> Kommunikationspartner des Erblassers waren</w:t>
      </w:r>
      <w:r w:rsidR="00C03DDC">
        <w:t>.</w:t>
      </w:r>
    </w:p>
    <w:p w14:paraId="5B000805" w14:textId="51211801" w:rsidR="00D66EC5" w:rsidRDefault="00280A12" w:rsidP="00C03DDC">
      <w:pPr>
        <w:jc w:val="both"/>
      </w:pPr>
      <w:r>
        <w:t>Für diese dem digitalen Nachlass zugehörigen persönlichen digitalen Daten ist die EuErbVO nicht der geeignete Regelungsrahmen, da es insoweit nicht um den Übergang von Vermögenswerten, sondern um den Zugang zu Daten und deren weitere Verarbeitung geht</w:t>
      </w:r>
      <w:r w:rsidR="005C60A6">
        <w:t>. Inwieweit also bestimmten Personen ein Zugang</w:t>
      </w:r>
      <w:r w:rsidR="0003018A">
        <w:t>srecht</w:t>
      </w:r>
      <w:r w:rsidR="005C60A6">
        <w:t xml:space="preserve"> zu diesen Daten gewährt werden soll, </w:t>
      </w:r>
      <w:r w:rsidR="00D66EC5">
        <w:t>wäre nicht in der EuErbVO, sondern</w:t>
      </w:r>
      <w:r w:rsidR="00071E17">
        <w:t xml:space="preserve"> vielme</w:t>
      </w:r>
      <w:r w:rsidR="009F4DE8">
        <w:t>h</w:t>
      </w:r>
      <w:r w:rsidR="00071E17">
        <w:t>r</w:t>
      </w:r>
      <w:r w:rsidR="00D66EC5">
        <w:t xml:space="preserve"> in der DSGVO zu regeln</w:t>
      </w:r>
      <w:r w:rsidR="00071E17">
        <w:t>, auch wenn dort der Schutz von Daten Verstorbener ausgeschlossen ist</w:t>
      </w:r>
      <w:r w:rsidR="00DF2B28">
        <w:t xml:space="preserve">. </w:t>
      </w:r>
      <w:r w:rsidR="00BD6596">
        <w:t>Durch eine Regelung in der DSGVO bliebe jedenfalls klargestellt</w:t>
      </w:r>
      <w:r w:rsidR="00F11582">
        <w:t xml:space="preserve">, dass </w:t>
      </w:r>
      <w:r w:rsidR="00BD6596">
        <w:t>die</w:t>
      </w:r>
      <w:r w:rsidR="00484CF5">
        <w:t xml:space="preserve"> </w:t>
      </w:r>
      <w:r w:rsidR="00F11582">
        <w:t xml:space="preserve">Verarbeitung personenbezogener Daten lebender </w:t>
      </w:r>
      <w:r w:rsidR="00BD6596">
        <w:t>Kommunikations</w:t>
      </w:r>
      <w:r w:rsidR="00E4091C">
        <w:t>partner</w:t>
      </w:r>
      <w:r w:rsidR="00F11582">
        <w:t xml:space="preserve"> weiterhin ausschließlich den Vorgaben der DSGVO unterliegt</w:t>
      </w:r>
      <w:r w:rsidR="00D66EC5">
        <w:t xml:space="preserve">. </w:t>
      </w:r>
    </w:p>
    <w:p w14:paraId="7EE8C4F4" w14:textId="2193DE8A" w:rsidR="00280A12" w:rsidRDefault="00280A12" w:rsidP="00C03DDC">
      <w:pPr>
        <w:jc w:val="both"/>
      </w:pPr>
      <w:r>
        <w:t xml:space="preserve">Im Ergebnis </w:t>
      </w:r>
      <w:r w:rsidR="00F11582">
        <w:t>zeigt sich daher, dass</w:t>
      </w:r>
      <w:r>
        <w:t xml:space="preserve"> d</w:t>
      </w:r>
      <w:r w:rsidR="00DA24B9">
        <w:t>as Auftauchen des</w:t>
      </w:r>
      <w:r>
        <w:t xml:space="preserve"> digitale</w:t>
      </w:r>
      <w:r w:rsidR="00DA24B9">
        <w:t>n</w:t>
      </w:r>
      <w:r>
        <w:t xml:space="preserve"> Nachlass</w:t>
      </w:r>
      <w:r w:rsidR="00DA24B9">
        <w:t>es</w:t>
      </w:r>
      <w:r>
        <w:t xml:space="preserve"> keinen Reformbedarf </w:t>
      </w:r>
      <w:r w:rsidR="00DA24B9">
        <w:t>im Hinblick auf die</w:t>
      </w:r>
      <w:r>
        <w:t xml:space="preserve"> EuErbVO</w:t>
      </w:r>
      <w:r w:rsidR="00050C37">
        <w:t xml:space="preserve"> erzeugt</w:t>
      </w:r>
      <w:r>
        <w:t>.</w:t>
      </w:r>
    </w:p>
    <w:p w14:paraId="2481B2B9" w14:textId="7DA2C3E3" w:rsidR="00903CB0" w:rsidRPr="00021154" w:rsidRDefault="0023348C" w:rsidP="00021154">
      <w:pPr>
        <w:jc w:val="both"/>
        <w:rPr>
          <w:b/>
          <w:bCs/>
        </w:rPr>
      </w:pPr>
      <w:r w:rsidRPr="002C05EA">
        <w:rPr>
          <w:b/>
          <w:bCs/>
          <w:highlight w:val="yellow"/>
        </w:rPr>
        <w:t>IV.</w:t>
      </w:r>
      <w:r w:rsidR="00C12CBF" w:rsidRPr="002C05EA">
        <w:rPr>
          <w:b/>
          <w:bCs/>
          <w:highlight w:val="yellow"/>
        </w:rPr>
        <w:t xml:space="preserve"> </w:t>
      </w:r>
      <w:r w:rsidR="00903CB0" w:rsidRPr="002C05EA">
        <w:rPr>
          <w:b/>
          <w:bCs/>
          <w:highlight w:val="yellow"/>
        </w:rPr>
        <w:t>Res</w:t>
      </w:r>
      <w:r w:rsidR="008F6031" w:rsidRPr="002C05EA">
        <w:rPr>
          <w:b/>
          <w:bCs/>
          <w:highlight w:val="yellow"/>
        </w:rPr>
        <w:t>ü</w:t>
      </w:r>
      <w:r w:rsidR="00903CB0" w:rsidRPr="002C05EA">
        <w:rPr>
          <w:b/>
          <w:bCs/>
          <w:highlight w:val="yellow"/>
        </w:rPr>
        <w:t>mee und Ausblick</w:t>
      </w:r>
    </w:p>
    <w:p w14:paraId="34788FE9" w14:textId="576610FA" w:rsidR="00A8769D" w:rsidRDefault="00A8769D" w:rsidP="00A8769D">
      <w:pPr>
        <w:jc w:val="both"/>
      </w:pPr>
      <w:r>
        <w:t xml:space="preserve">Die Europäische Kommission hätte dem Europäischen Parlament, dem Rat und dem Europäischen Wirtschafts- und Sozialausschuss bis zum 18. August 2025 einen Bericht über die Anwendung der EuErbVO vorlegen </w:t>
      </w:r>
      <w:r w:rsidR="009604F0">
        <w:t>sollen</w:t>
      </w:r>
      <w:r>
        <w:t>, der insbesondere auch eine Evaluierung praktischer Probleme sowie allfällige Reformvorschläge enthalten sollte. Ein solcher Bericht liegt bislang nicht vor; auch ein Zeitpunkt für seine Vorlage ist derzeit nicht absehbar.</w:t>
      </w:r>
    </w:p>
    <w:p w14:paraId="780C1EDF" w14:textId="22BA8A15" w:rsidR="00A8769D" w:rsidRDefault="00A8769D" w:rsidP="00A8769D">
      <w:pPr>
        <w:jc w:val="both"/>
      </w:pPr>
      <w:r>
        <w:t>Die bisherigen Erfahrungen mit der Verordnung zeigen jedoch ein klares Bild: Die EuErbVO ist in ihren Grundentscheidungen tragfähig</w:t>
      </w:r>
      <w:r w:rsidR="009D1E0B">
        <w:t xml:space="preserve"> und hat sich gut bewährt</w:t>
      </w:r>
      <w:r>
        <w:t xml:space="preserve">. Die Rechtsprechung des EuGH hat zentrale </w:t>
      </w:r>
      <w:r w:rsidR="00EB6EFC">
        <w:t>Anwendungsf</w:t>
      </w:r>
      <w:r>
        <w:t>ragen</w:t>
      </w:r>
      <w:r w:rsidR="00EB6EFC">
        <w:t xml:space="preserve">, </w:t>
      </w:r>
      <w:r>
        <w:t>insbesondere zur Reichweite des Erbstatuts</w:t>
      </w:r>
      <w:r w:rsidR="00EB6EFC">
        <w:t>,</w:t>
      </w:r>
      <w:r>
        <w:t xml:space="preserve"> zum gewöhnlichen Aufenthalt</w:t>
      </w:r>
      <w:r w:rsidR="00EB6EFC">
        <w:t xml:space="preserve"> und zum ENZ,</w:t>
      </w:r>
      <w:r>
        <w:t xml:space="preserve"> in einer Weise geklärt, die die Systematik der Verordnung bestätigt und weiterentwickelt. Die bestehenden Schwierigkeiten liegen daher nicht </w:t>
      </w:r>
      <w:r w:rsidR="00EB6EFC">
        <w:t xml:space="preserve">so sehr </w:t>
      </w:r>
      <w:r>
        <w:t xml:space="preserve">auf der normativen Ebene, sondern </w:t>
      </w:r>
      <w:r w:rsidR="00EB6EFC">
        <w:t xml:space="preserve">vor allem </w:t>
      </w:r>
      <w:r>
        <w:t>in ihrer praktischen Anwendung.</w:t>
      </w:r>
    </w:p>
    <w:p w14:paraId="7255958E" w14:textId="3BFBBE91" w:rsidR="00A8769D" w:rsidRDefault="00A8769D" w:rsidP="00A8769D">
      <w:pPr>
        <w:jc w:val="both"/>
      </w:pPr>
      <w:r>
        <w:t xml:space="preserve">Der zentrale Befund lautet somit: Kein </w:t>
      </w:r>
      <w:r w:rsidR="007A6702">
        <w:t xml:space="preserve">wesentlicher </w:t>
      </w:r>
      <w:r>
        <w:t xml:space="preserve">Reformbedarf der Verordnung, sondern </w:t>
      </w:r>
      <w:r w:rsidR="002A1F45">
        <w:t>in erster Linie Optimierungspotential bei der</w:t>
      </w:r>
      <w:r>
        <w:t xml:space="preserve"> Umsetzung. Dieses zeigt sich vor allem in </w:t>
      </w:r>
      <w:r w:rsidR="009A62C7">
        <w:t>suboptimaler</w:t>
      </w:r>
      <w:r>
        <w:t xml:space="preserve"> Koordination, unzureichendem Informationsaustausch zwischen den Behörden sowie in der nur begrenzten praktischen Wirksamkeit des Europäischen Nachlasszeugnisses.</w:t>
      </w:r>
    </w:p>
    <w:p w14:paraId="48D8ECBA" w14:textId="6841E063" w:rsidR="00D612ED" w:rsidRDefault="00A8769D" w:rsidP="00A8769D">
      <w:pPr>
        <w:jc w:val="both"/>
      </w:pPr>
      <w:r>
        <w:t>Gerade beim ENZ besteht daher konkreter Handlungsbedarf. Eine weitergehende Digitalisierung</w:t>
      </w:r>
      <w:r w:rsidR="006E0ABA">
        <w:t>, ja eine Umstellung auf ein digitales ENZ</w:t>
      </w:r>
      <w:r>
        <w:t xml:space="preserve"> könnte Koordinationsprobleme reduzieren und eine jederzeit aktuelle Verfügbarkeit für Behörden sicherstellen. Zugleich sollte das ENZ vereinfacht und konsequent auf die in Art 68 </w:t>
      </w:r>
      <w:proofErr w:type="spellStart"/>
      <w:r>
        <w:t>EuErbVO</w:t>
      </w:r>
      <w:proofErr w:type="spellEnd"/>
      <w:r>
        <w:t xml:space="preserve"> vorgesehenen Angaben zurückgeführt werden. Ergänzend könnte erwogen werden, optionale Felder vorzusehen, um für den Verwendungszweck relevante Vermögensgegenstände im Ausland näher zu bezeichnen, ohne damit Aussagen über deren Nachlasszugehörigkeit zu treffen.</w:t>
      </w:r>
    </w:p>
    <w:p w14:paraId="08ACF9D9" w14:textId="5EFD9BA7" w:rsidR="002262ED" w:rsidRDefault="002262ED" w:rsidP="002262ED">
      <w:pPr>
        <w:jc w:val="both"/>
      </w:pPr>
      <w:r>
        <w:t xml:space="preserve">Schließlich begründet auch der digitale Nachlass keinen Reformbedarf der EuErbVO: Digitale Vermögenswerte werden bereits jetzt vom Erbstatut erfasst, während persönliche digitale Daten datenschutzrechtlich einzuordnen sind und </w:t>
      </w:r>
      <w:r w:rsidR="00C12438">
        <w:t xml:space="preserve">eventuell </w:t>
      </w:r>
      <w:r>
        <w:t>dort einer eigenständigen Zugangsregelung bedürfen.</w:t>
      </w:r>
    </w:p>
    <w:p w14:paraId="76E84BC0" w14:textId="4AFC66FC" w:rsidR="002262ED" w:rsidRDefault="002262ED" w:rsidP="002262ED">
      <w:pPr>
        <w:jc w:val="both"/>
      </w:pPr>
      <w:r>
        <w:t xml:space="preserve">Im Ergebnis ist die EuErbVO auch zehn Jahre nach ihrem Inkrafttreten kein Reformfall, sondern ein </w:t>
      </w:r>
      <w:r w:rsidR="00D51D25">
        <w:t xml:space="preserve">Fall </w:t>
      </w:r>
      <w:r w:rsidR="00CD1751">
        <w:t xml:space="preserve">noch nicht optimaler Anwendung. </w:t>
      </w:r>
      <w:r w:rsidR="00252EB1">
        <w:t>Ihre Verbesserung ergibt sich nicht aus ihrer</w:t>
      </w:r>
      <w:r>
        <w:t xml:space="preserve"> </w:t>
      </w:r>
      <w:r>
        <w:lastRenderedPageBreak/>
        <w:t xml:space="preserve">Änderung, sondern </w:t>
      </w:r>
      <w:r w:rsidR="00C95329">
        <w:t>aus</w:t>
      </w:r>
      <w:r>
        <w:t xml:space="preserve"> ihrer konsequenten und koordinierten Anwendung</w:t>
      </w:r>
      <w:r w:rsidR="0091306C">
        <w:t xml:space="preserve"> in allen Mitgliedstaaten</w:t>
      </w:r>
      <w:r>
        <w:t>.</w:t>
      </w:r>
    </w:p>
    <w:sectPr w:rsidR="002262ED" w:rsidSect="00AE78CC">
      <w:headerReference w:type="default" r:id="rId8"/>
      <w:headerReference w:type="first" r:id="rId9"/>
      <w:footerReference w:type="first" r:id="rId10"/>
      <w:pgSz w:w="11906" w:h="16838"/>
      <w:pgMar w:top="1417" w:right="1417" w:bottom="1134" w:left="1417" w:header="567" w:footer="567"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2FF6B" w14:textId="77777777" w:rsidR="00354747" w:rsidRDefault="00354747" w:rsidP="001326B1">
      <w:pPr>
        <w:spacing w:after="0"/>
      </w:pPr>
      <w:r>
        <w:separator/>
      </w:r>
    </w:p>
  </w:endnote>
  <w:endnote w:type="continuationSeparator" w:id="0">
    <w:p w14:paraId="26480427" w14:textId="77777777" w:rsidR="00354747" w:rsidRDefault="00354747" w:rsidP="001326B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Sans Light">
    <w:panose1 w:val="00000400000000000000"/>
    <w:charset w:val="00"/>
    <w:family w:val="auto"/>
    <w:pitch w:val="variable"/>
    <w:sig w:usb0="A00002FF" w:usb1="5000204B" w:usb2="00000000" w:usb3="00000000" w:csb0="00000197" w:csb1="00000000"/>
    <w:embedRegular r:id="rId1" w:fontKey="{65D6E9FF-1F4E-49CD-B011-A984FF1A9C93}"/>
    <w:embedBold r:id="rId2" w:fontKey="{BC7ACC6B-FA50-402C-B9C1-94C21C8053AC}"/>
    <w:embedItalic r:id="rId3" w:fontKey="{059257D7-EC21-48E5-9EF7-8CE51DDDCC32}"/>
  </w:font>
  <w:font w:name="Nunito Sans ExtraBold">
    <w:panose1 w:val="00000900000000000000"/>
    <w:charset w:val="00"/>
    <w:family w:val="auto"/>
    <w:pitch w:val="variable"/>
    <w:sig w:usb0="A00002FF" w:usb1="5000204B" w:usb2="00000000" w:usb3="00000000" w:csb0="00000197" w:csb1="00000000"/>
    <w:embedRegular r:id="rId4" w:fontKey="{9FAE83FC-6814-4737-BF2A-B84E6D7D6821}"/>
    <w:embedBold r:id="rId5" w:fontKey="{46E5EE7C-B31E-4D12-87B5-FED5C5542DB5}"/>
  </w:font>
  <w:font w:name="Times New Roman (Textkörper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C3329" w14:textId="77777777" w:rsidR="00EC2988" w:rsidRPr="00C703BC" w:rsidRDefault="00EC2988" w:rsidP="00C703BC">
    <w:pPr>
      <w:pStyle w:val="Fuzeile"/>
    </w:pPr>
    <w:r>
      <w:t>Text eingeben</w:t>
    </w:r>
    <w:r w:rsidRPr="00C703BC">
      <w:ptab w:relativeTo="margin" w:alignment="center" w:leader="none"/>
    </w:r>
    <w:r w:rsidRPr="00C703BC">
      <w:ptab w:relativeTo="margin" w:alignment="right" w:leader="none"/>
    </w:r>
    <w:r>
      <w:t xml:space="preserve">Seite </w:t>
    </w:r>
    <w:r>
      <w:fldChar w:fldCharType="begin"/>
    </w:r>
    <w:r>
      <w:instrText xml:space="preserve"> PAGE  \* MERGEFORMAT </w:instrText>
    </w:r>
    <w:r>
      <w:fldChar w:fldCharType="separate"/>
    </w:r>
    <w:r>
      <w:rPr>
        <w:noProof/>
      </w:rPr>
      <w:t>2</w:t>
    </w:r>
    <w:r>
      <w:fldChar w:fldCharType="end"/>
    </w:r>
    <w:r>
      <w:t>/</w:t>
    </w:r>
    <w:fldSimple w:instr=" NUMPAGES  \* MERGEFORMAT ">
      <w:r>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744C5" w14:textId="77777777" w:rsidR="00354747" w:rsidRDefault="00354747" w:rsidP="001326B1">
      <w:pPr>
        <w:spacing w:after="0"/>
      </w:pPr>
      <w:r>
        <w:separator/>
      </w:r>
    </w:p>
  </w:footnote>
  <w:footnote w:type="continuationSeparator" w:id="0">
    <w:p w14:paraId="3C124B4B" w14:textId="77777777" w:rsidR="00354747" w:rsidRDefault="00354747" w:rsidP="001326B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2E44C" w14:textId="77777777" w:rsidR="003A5463" w:rsidRDefault="003A5463" w:rsidP="003A5463">
    <w:pPr>
      <w:pStyle w:val="Kopfzeil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F76A0" w14:textId="77777777" w:rsidR="00C633AE" w:rsidRDefault="00C633AE" w:rsidP="001326B1">
    <w:pPr>
      <w:pStyle w:val="Kopfzeile"/>
      <w:jc w:val="right"/>
    </w:pPr>
    <w:r>
      <w:rPr>
        <w:noProof/>
      </w:rPr>
      <w:drawing>
        <wp:inline distT="0" distB="0" distL="0" distR="0" wp14:anchorId="2562B7AB" wp14:editId="572CE347">
          <wp:extent cx="757010" cy="648000"/>
          <wp:effectExtent l="0" t="0" r="5080" b="0"/>
          <wp:docPr id="140055319" name="Grafik 140055319" descr="Ein Bild, das Text enthä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55319" name="Grafik 140055319" descr="Ein Bild, das Text enthält."/>
                  <pic:cNvPicPr/>
                </pic:nvPicPr>
                <pic:blipFill>
                  <a:blip r:embed="rId1">
                    <a:extLst>
                      <a:ext uri="{28A0092B-C50C-407E-A947-70E740481C1C}">
                        <a14:useLocalDpi xmlns:a14="http://schemas.microsoft.com/office/drawing/2010/main" val="0"/>
                      </a:ext>
                    </a:extLst>
                  </a:blip>
                  <a:stretch>
                    <a:fillRect/>
                  </a:stretch>
                </pic:blipFill>
                <pic:spPr>
                  <a:xfrm>
                    <a:off x="0" y="0"/>
                    <a:ext cx="757010" cy="648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C04B822"/>
    <w:lvl w:ilvl="0">
      <w:start w:val="1"/>
      <w:numFmt w:val="decimal"/>
      <w:lvlText w:val="%1."/>
      <w:lvlJc w:val="left"/>
      <w:pPr>
        <w:tabs>
          <w:tab w:val="num" w:pos="1492"/>
        </w:tabs>
        <w:ind w:left="1492" w:hanging="360"/>
      </w:pPr>
    </w:lvl>
  </w:abstractNum>
  <w:abstractNum w:abstractNumId="1" w15:restartNumberingAfterBreak="0">
    <w:nsid w:val="082356F4"/>
    <w:multiLevelType w:val="multilevel"/>
    <w:tmpl w:val="11E26850"/>
    <w:styleLink w:val="AktuelleListe4"/>
    <w:lvl w:ilvl="0">
      <w:start w:val="1"/>
      <w:numFmt w:val="decimal"/>
      <w:isLgl/>
      <w:lvlText w:val="%1."/>
      <w:lvlJc w:val="left"/>
      <w:pPr>
        <w:ind w:left="454" w:hanging="454"/>
      </w:pPr>
      <w:rPr>
        <w:rFonts w:hint="default"/>
      </w:rPr>
    </w:lvl>
    <w:lvl w:ilvl="1">
      <w:start w:val="1"/>
      <w:numFmt w:val="decimal"/>
      <w:isLgl/>
      <w:lvlText w:val="%1.%2."/>
      <w:lvlJc w:val="left"/>
      <w:pPr>
        <w:ind w:left="567" w:hanging="11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45399A"/>
    <w:multiLevelType w:val="multilevel"/>
    <w:tmpl w:val="C388B8D4"/>
    <w:styleLink w:val="AktuelleListe7"/>
    <w:lvl w:ilvl="0">
      <w:start w:val="1"/>
      <w:numFmt w:val="decimal"/>
      <w:isLgl/>
      <w:lvlText w:val="%1."/>
      <w:lvlJc w:val="left"/>
      <w:pPr>
        <w:ind w:left="567" w:hanging="567"/>
      </w:pPr>
      <w:rPr>
        <w:rFonts w:hint="default"/>
      </w:rPr>
    </w:lvl>
    <w:lvl w:ilvl="1">
      <w:start w:val="1"/>
      <w:numFmt w:val="decimal"/>
      <w:isLgl/>
      <w:lvlText w:val="%1.%2."/>
      <w:lvlJc w:val="left"/>
      <w:pPr>
        <w:ind w:left="454" w:firstLine="11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3F42470"/>
    <w:multiLevelType w:val="hybridMultilevel"/>
    <w:tmpl w:val="A2A6590A"/>
    <w:lvl w:ilvl="0" w:tplc="6B9E2736">
      <w:start w:val="1"/>
      <w:numFmt w:val="upp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A2A69A2"/>
    <w:multiLevelType w:val="multilevel"/>
    <w:tmpl w:val="28C213AC"/>
    <w:styleLink w:val="AktuelleListe1"/>
    <w:lvl w:ilvl="0">
      <w:start w:val="1"/>
      <w:numFmt w:val="decimal"/>
      <w:isLgl/>
      <w:lvlText w:val="%1."/>
      <w:lvlJc w:val="left"/>
      <w:pPr>
        <w:ind w:left="0" w:firstLine="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B9F5F97"/>
    <w:multiLevelType w:val="hybridMultilevel"/>
    <w:tmpl w:val="24CE4970"/>
    <w:lvl w:ilvl="0" w:tplc="DD6883E8">
      <w:start w:val="1"/>
      <w:numFmt w:val="decimal"/>
      <w:pStyle w:val="NummerierungEinzug1"/>
      <w:lvlText w:val="%1."/>
      <w:lvlJc w:val="left"/>
      <w:pPr>
        <w:ind w:left="927"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F164E25"/>
    <w:multiLevelType w:val="hybridMultilevel"/>
    <w:tmpl w:val="4E7425F6"/>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2140487D"/>
    <w:multiLevelType w:val="multilevel"/>
    <w:tmpl w:val="0F1ACC2C"/>
    <w:styleLink w:val="AktuelleListe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2F66E42"/>
    <w:multiLevelType w:val="hybridMultilevel"/>
    <w:tmpl w:val="CD06F548"/>
    <w:lvl w:ilvl="0" w:tplc="6C183EEA">
      <w:start w:val="1"/>
      <w:numFmt w:val="bullet"/>
      <w:pStyle w:val="AufzhlungStandard"/>
      <w:lvlText w:val=""/>
      <w:lvlJc w:val="left"/>
      <w:pPr>
        <w:ind w:left="357" w:hanging="357"/>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53179E7"/>
    <w:multiLevelType w:val="multilevel"/>
    <w:tmpl w:val="FD3EE764"/>
    <w:styleLink w:val="AktuelleListe8"/>
    <w:lvl w:ilvl="0">
      <w:start w:val="1"/>
      <w:numFmt w:val="decimal"/>
      <w:isLgl/>
      <w:lvlText w:val="%1."/>
      <w:lvlJc w:val="left"/>
      <w:pPr>
        <w:ind w:left="567" w:hanging="567"/>
      </w:pPr>
      <w:rPr>
        <w:rFonts w:hint="default"/>
      </w:rPr>
    </w:lvl>
    <w:lvl w:ilvl="1">
      <w:start w:val="1"/>
      <w:numFmt w:val="decimal"/>
      <w:isLgl/>
      <w:lvlText w:val="%1.%2."/>
      <w:lvlJc w:val="left"/>
      <w:pPr>
        <w:tabs>
          <w:tab w:val="num" w:pos="567"/>
        </w:tabs>
        <w:ind w:left="567"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6792790"/>
    <w:multiLevelType w:val="multilevel"/>
    <w:tmpl w:val="09F2C5F0"/>
    <w:styleLink w:val="AktuelleListe3"/>
    <w:lvl w:ilvl="0">
      <w:start w:val="1"/>
      <w:numFmt w:val="decimal"/>
      <w:isLgl/>
      <w:lvlText w:val="%1."/>
      <w:lvlJc w:val="left"/>
      <w:pPr>
        <w:ind w:left="454" w:hanging="454"/>
      </w:pPr>
      <w:rPr>
        <w:rFonts w:hint="default"/>
      </w:rPr>
    </w:lvl>
    <w:lvl w:ilvl="1">
      <w:start w:val="1"/>
      <w:numFmt w:val="decimal"/>
      <w:isLgl/>
      <w:lvlText w:val="%1.%2."/>
      <w:lvlJc w:val="left"/>
      <w:pPr>
        <w:ind w:left="680" w:hanging="22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7FE6507"/>
    <w:multiLevelType w:val="multilevel"/>
    <w:tmpl w:val="85B639A0"/>
    <w:lvl w:ilvl="0">
      <w:start w:val="1"/>
      <w:numFmt w:val="decimal"/>
      <w:pStyle w:val="berschrift1"/>
      <w:isLgl/>
      <w:lvlText w:val="%1."/>
      <w:lvlJc w:val="left"/>
      <w:pPr>
        <w:ind w:left="567" w:hanging="567"/>
      </w:pPr>
      <w:rPr>
        <w:rFonts w:hint="default"/>
      </w:rPr>
    </w:lvl>
    <w:lvl w:ilvl="1">
      <w:start w:val="1"/>
      <w:numFmt w:val="decimal"/>
      <w:pStyle w:val="berschrift2"/>
      <w:isLgl/>
      <w:lvlText w:val="%1.%2."/>
      <w:lvlJc w:val="left"/>
      <w:pPr>
        <w:ind w:left="567" w:hanging="567"/>
      </w:pPr>
      <w:rPr>
        <w:rFonts w:hint="default"/>
      </w:rPr>
    </w:lvl>
    <w:lvl w:ilvl="2">
      <w:start w:val="1"/>
      <w:numFmt w:val="decimal"/>
      <w:pStyle w:val="berschrift3"/>
      <w:isLgl/>
      <w:lvlText w:val="%1.%2.%3."/>
      <w:lvlJc w:val="left"/>
      <w:pPr>
        <w:ind w:left="1418"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8951768"/>
    <w:multiLevelType w:val="multilevel"/>
    <w:tmpl w:val="6F72F4C2"/>
    <w:lvl w:ilvl="0">
      <w:start w:val="1"/>
      <w:numFmt w:val="decimal"/>
      <w:isLgl/>
      <w:lvlText w:val="%1."/>
      <w:lvlJc w:val="left"/>
      <w:pPr>
        <w:ind w:left="454" w:hanging="45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B0B7B6C"/>
    <w:multiLevelType w:val="multilevel"/>
    <w:tmpl w:val="0407001D"/>
    <w:styleLink w:val="AktuelleList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B7262E0"/>
    <w:multiLevelType w:val="multilevel"/>
    <w:tmpl w:val="5296C750"/>
    <w:styleLink w:val="AktuelleListe9"/>
    <w:lvl w:ilvl="0">
      <w:start w:val="1"/>
      <w:numFmt w:val="decimal"/>
      <w:isLgl/>
      <w:lvlText w:val="%1."/>
      <w:lvlJc w:val="left"/>
      <w:pPr>
        <w:ind w:left="567" w:hanging="567"/>
      </w:pPr>
      <w:rPr>
        <w:rFonts w:hint="default"/>
      </w:rPr>
    </w:lvl>
    <w:lvl w:ilvl="1">
      <w:start w:val="1"/>
      <w:numFmt w:val="decimal"/>
      <w:isLgl/>
      <w:lvlText w:val="%1.%2."/>
      <w:lvlJc w:val="left"/>
      <w:pPr>
        <w:ind w:left="567" w:hanging="567"/>
      </w:pPr>
      <w:rPr>
        <w:rFonts w:hint="default"/>
      </w:rPr>
    </w:lvl>
    <w:lvl w:ilvl="2">
      <w:start w:val="1"/>
      <w:numFmt w:val="decimal"/>
      <w:isLgl/>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CB37CC5"/>
    <w:multiLevelType w:val="hybridMultilevel"/>
    <w:tmpl w:val="F9BC49AE"/>
    <w:lvl w:ilvl="0" w:tplc="392EE766">
      <w:start w:val="1"/>
      <w:numFmt w:val="decimal"/>
      <w:pStyle w:val="NummerierungStandard"/>
      <w:lvlText w:val="%1."/>
      <w:lvlJc w:val="left"/>
      <w:pPr>
        <w:ind w:left="1776" w:hanging="360"/>
      </w:p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abstractNum w:abstractNumId="16" w15:restartNumberingAfterBreak="0">
    <w:nsid w:val="331C0233"/>
    <w:multiLevelType w:val="multilevel"/>
    <w:tmpl w:val="C6761D70"/>
    <w:lvl w:ilvl="0">
      <w:start w:val="1"/>
      <w:numFmt w:val="decimal"/>
      <w:isLgl/>
      <w:lvlText w:val="%1."/>
      <w:lvlJc w:val="left"/>
      <w:pPr>
        <w:ind w:left="567" w:hanging="567"/>
      </w:pPr>
      <w:rPr>
        <w:rFonts w:hint="default"/>
      </w:rPr>
    </w:lvl>
    <w:lvl w:ilvl="1">
      <w:start w:val="1"/>
      <w:numFmt w:val="decimal"/>
      <w:isLgl/>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5F20ACD"/>
    <w:multiLevelType w:val="multilevel"/>
    <w:tmpl w:val="30BE44BE"/>
    <w:styleLink w:val="AktuelleListe6"/>
    <w:lvl w:ilvl="0">
      <w:start w:val="1"/>
      <w:numFmt w:val="decimal"/>
      <w:isLgl/>
      <w:lvlText w:val="%1."/>
      <w:lvlJc w:val="left"/>
      <w:pPr>
        <w:ind w:left="567" w:hanging="567"/>
      </w:pPr>
      <w:rPr>
        <w:rFonts w:hint="default"/>
      </w:rPr>
    </w:lvl>
    <w:lvl w:ilvl="1">
      <w:start w:val="1"/>
      <w:numFmt w:val="decimal"/>
      <w:isLgl/>
      <w:lvlText w:val="%1.%2."/>
      <w:lvlJc w:val="left"/>
      <w:pPr>
        <w:tabs>
          <w:tab w:val="num" w:pos="454"/>
        </w:tabs>
        <w:ind w:left="454"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6141E44"/>
    <w:multiLevelType w:val="hybridMultilevel"/>
    <w:tmpl w:val="A8066D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9CE1EE7"/>
    <w:multiLevelType w:val="multilevel"/>
    <w:tmpl w:val="99409A86"/>
    <w:styleLink w:val="AktuelleListe5"/>
    <w:lvl w:ilvl="0">
      <w:start w:val="1"/>
      <w:numFmt w:val="decimal"/>
      <w:isLgl/>
      <w:lvlText w:val="%1."/>
      <w:lvlJc w:val="left"/>
      <w:pPr>
        <w:ind w:left="454" w:hanging="454"/>
      </w:pPr>
      <w:rPr>
        <w:rFonts w:hint="default"/>
      </w:rPr>
    </w:lvl>
    <w:lvl w:ilvl="1">
      <w:start w:val="1"/>
      <w:numFmt w:val="decimal"/>
      <w:isLgl/>
      <w:lvlText w:val="%1.%2."/>
      <w:lvlJc w:val="left"/>
      <w:pPr>
        <w:tabs>
          <w:tab w:val="num" w:pos="454"/>
        </w:tabs>
        <w:ind w:left="454"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B2018A1"/>
    <w:multiLevelType w:val="hybridMultilevel"/>
    <w:tmpl w:val="5984936A"/>
    <w:lvl w:ilvl="0" w:tplc="63E0FCD4">
      <w:start w:val="1"/>
      <w:numFmt w:val="bullet"/>
      <w:lvlText w:val=""/>
      <w:lvlJc w:val="left"/>
      <w:pPr>
        <w:ind w:left="778" w:hanging="360"/>
      </w:pPr>
      <w:rPr>
        <w:rFonts w:ascii="Symbol" w:hAnsi="Symbol" w:hint="default"/>
      </w:rPr>
    </w:lvl>
    <w:lvl w:ilvl="1" w:tplc="04070003">
      <w:start w:val="1"/>
      <w:numFmt w:val="bullet"/>
      <w:lvlText w:val="o"/>
      <w:lvlJc w:val="left"/>
      <w:pPr>
        <w:ind w:left="1498" w:hanging="360"/>
      </w:pPr>
      <w:rPr>
        <w:rFonts w:ascii="Courier New" w:hAnsi="Courier New" w:cs="Courier New" w:hint="default"/>
      </w:rPr>
    </w:lvl>
    <w:lvl w:ilvl="2" w:tplc="04070005">
      <w:start w:val="1"/>
      <w:numFmt w:val="bullet"/>
      <w:lvlText w:val=""/>
      <w:lvlJc w:val="left"/>
      <w:pPr>
        <w:ind w:left="2218" w:hanging="360"/>
      </w:pPr>
      <w:rPr>
        <w:rFonts w:ascii="Wingdings" w:hAnsi="Wingdings" w:hint="default"/>
      </w:rPr>
    </w:lvl>
    <w:lvl w:ilvl="3" w:tplc="04070001" w:tentative="1">
      <w:start w:val="1"/>
      <w:numFmt w:val="bullet"/>
      <w:lvlText w:val=""/>
      <w:lvlJc w:val="left"/>
      <w:pPr>
        <w:ind w:left="2938" w:hanging="360"/>
      </w:pPr>
      <w:rPr>
        <w:rFonts w:ascii="Symbol" w:hAnsi="Symbol" w:hint="default"/>
      </w:rPr>
    </w:lvl>
    <w:lvl w:ilvl="4" w:tplc="04070003" w:tentative="1">
      <w:start w:val="1"/>
      <w:numFmt w:val="bullet"/>
      <w:lvlText w:val="o"/>
      <w:lvlJc w:val="left"/>
      <w:pPr>
        <w:ind w:left="3658" w:hanging="360"/>
      </w:pPr>
      <w:rPr>
        <w:rFonts w:ascii="Courier New" w:hAnsi="Courier New" w:cs="Courier New" w:hint="default"/>
      </w:rPr>
    </w:lvl>
    <w:lvl w:ilvl="5" w:tplc="04070005" w:tentative="1">
      <w:start w:val="1"/>
      <w:numFmt w:val="bullet"/>
      <w:lvlText w:val=""/>
      <w:lvlJc w:val="left"/>
      <w:pPr>
        <w:ind w:left="4378" w:hanging="360"/>
      </w:pPr>
      <w:rPr>
        <w:rFonts w:ascii="Wingdings" w:hAnsi="Wingdings" w:hint="default"/>
      </w:rPr>
    </w:lvl>
    <w:lvl w:ilvl="6" w:tplc="04070001" w:tentative="1">
      <w:start w:val="1"/>
      <w:numFmt w:val="bullet"/>
      <w:lvlText w:val=""/>
      <w:lvlJc w:val="left"/>
      <w:pPr>
        <w:ind w:left="5098" w:hanging="360"/>
      </w:pPr>
      <w:rPr>
        <w:rFonts w:ascii="Symbol" w:hAnsi="Symbol" w:hint="default"/>
      </w:rPr>
    </w:lvl>
    <w:lvl w:ilvl="7" w:tplc="04070003" w:tentative="1">
      <w:start w:val="1"/>
      <w:numFmt w:val="bullet"/>
      <w:lvlText w:val="o"/>
      <w:lvlJc w:val="left"/>
      <w:pPr>
        <w:ind w:left="5818" w:hanging="360"/>
      </w:pPr>
      <w:rPr>
        <w:rFonts w:ascii="Courier New" w:hAnsi="Courier New" w:cs="Courier New" w:hint="default"/>
      </w:rPr>
    </w:lvl>
    <w:lvl w:ilvl="8" w:tplc="04070005" w:tentative="1">
      <w:start w:val="1"/>
      <w:numFmt w:val="bullet"/>
      <w:lvlText w:val=""/>
      <w:lvlJc w:val="left"/>
      <w:pPr>
        <w:ind w:left="6538" w:hanging="360"/>
      </w:pPr>
      <w:rPr>
        <w:rFonts w:ascii="Wingdings" w:hAnsi="Wingdings" w:hint="default"/>
      </w:rPr>
    </w:lvl>
  </w:abstractNum>
  <w:abstractNum w:abstractNumId="21" w15:restartNumberingAfterBreak="0">
    <w:nsid w:val="69437A11"/>
    <w:multiLevelType w:val="multilevel"/>
    <w:tmpl w:val="5CC0B05E"/>
    <w:styleLink w:val="AktuelleListe10"/>
    <w:lvl w:ilvl="0">
      <w:start w:val="1"/>
      <w:numFmt w:val="bullet"/>
      <w:lvlText w:val=""/>
      <w:lvlJc w:val="left"/>
      <w:pPr>
        <w:ind w:left="357" w:hanging="35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531185670">
    <w:abstractNumId w:val="12"/>
  </w:num>
  <w:num w:numId="2" w16cid:durableId="653139971">
    <w:abstractNumId w:val="4"/>
  </w:num>
  <w:num w:numId="3" w16cid:durableId="2046439790">
    <w:abstractNumId w:val="13"/>
  </w:num>
  <w:num w:numId="4" w16cid:durableId="662199363">
    <w:abstractNumId w:val="16"/>
  </w:num>
  <w:num w:numId="5" w16cid:durableId="1176574596">
    <w:abstractNumId w:val="10"/>
  </w:num>
  <w:num w:numId="6" w16cid:durableId="1956476915">
    <w:abstractNumId w:val="1"/>
  </w:num>
  <w:num w:numId="7" w16cid:durableId="1863665796">
    <w:abstractNumId w:val="19"/>
  </w:num>
  <w:num w:numId="8" w16cid:durableId="532158408">
    <w:abstractNumId w:val="17"/>
  </w:num>
  <w:num w:numId="9" w16cid:durableId="560485704">
    <w:abstractNumId w:val="2"/>
  </w:num>
  <w:num w:numId="10" w16cid:durableId="1983729716">
    <w:abstractNumId w:val="9"/>
  </w:num>
  <w:num w:numId="11" w16cid:durableId="1679842834">
    <w:abstractNumId w:val="11"/>
  </w:num>
  <w:num w:numId="12" w16cid:durableId="196621264">
    <w:abstractNumId w:val="14"/>
  </w:num>
  <w:num w:numId="13" w16cid:durableId="1560245719">
    <w:abstractNumId w:val="20"/>
  </w:num>
  <w:num w:numId="14" w16cid:durableId="1463765205">
    <w:abstractNumId w:val="15"/>
  </w:num>
  <w:num w:numId="15" w16cid:durableId="1405030395">
    <w:abstractNumId w:val="18"/>
  </w:num>
  <w:num w:numId="16" w16cid:durableId="1081831107">
    <w:abstractNumId w:val="8"/>
  </w:num>
  <w:num w:numId="17" w16cid:durableId="2144539375">
    <w:abstractNumId w:val="21"/>
  </w:num>
  <w:num w:numId="18" w16cid:durableId="1725909485">
    <w:abstractNumId w:val="5"/>
  </w:num>
  <w:num w:numId="19" w16cid:durableId="73163897">
    <w:abstractNumId w:val="15"/>
    <w:lvlOverride w:ilvl="0">
      <w:startOverride w:val="1"/>
    </w:lvlOverride>
  </w:num>
  <w:num w:numId="20" w16cid:durableId="1622110048">
    <w:abstractNumId w:val="7"/>
  </w:num>
  <w:num w:numId="21" w16cid:durableId="1115559601">
    <w:abstractNumId w:val="15"/>
    <w:lvlOverride w:ilvl="0">
      <w:startOverride w:val="1"/>
    </w:lvlOverride>
  </w:num>
  <w:num w:numId="22" w16cid:durableId="1516991562">
    <w:abstractNumId w:val="0"/>
  </w:num>
  <w:num w:numId="23" w16cid:durableId="109592160">
    <w:abstractNumId w:val="11"/>
  </w:num>
  <w:num w:numId="24" w16cid:durableId="1686394879">
    <w:abstractNumId w:val="11"/>
  </w:num>
  <w:num w:numId="25" w16cid:durableId="327249020">
    <w:abstractNumId w:val="11"/>
  </w:num>
  <w:num w:numId="26" w16cid:durableId="1361707482">
    <w:abstractNumId w:val="8"/>
  </w:num>
  <w:num w:numId="27" w16cid:durableId="18699652">
    <w:abstractNumId w:val="15"/>
  </w:num>
  <w:num w:numId="28" w16cid:durableId="993265326">
    <w:abstractNumId w:val="8"/>
  </w:num>
  <w:num w:numId="29" w16cid:durableId="959579369">
    <w:abstractNumId w:val="5"/>
  </w:num>
  <w:num w:numId="30" w16cid:durableId="1187597692">
    <w:abstractNumId w:val="8"/>
  </w:num>
  <w:num w:numId="31" w16cid:durableId="1236549563">
    <w:abstractNumId w:val="15"/>
  </w:num>
  <w:num w:numId="32" w16cid:durableId="168571239">
    <w:abstractNumId w:val="11"/>
  </w:num>
  <w:num w:numId="33" w16cid:durableId="1106344349">
    <w:abstractNumId w:val="11"/>
  </w:num>
  <w:num w:numId="34" w16cid:durableId="70078699">
    <w:abstractNumId w:val="11"/>
  </w:num>
  <w:num w:numId="35" w16cid:durableId="302780278">
    <w:abstractNumId w:val="8"/>
  </w:num>
  <w:num w:numId="36" w16cid:durableId="1028410377">
    <w:abstractNumId w:val="15"/>
  </w:num>
  <w:num w:numId="37" w16cid:durableId="1136029431">
    <w:abstractNumId w:val="8"/>
  </w:num>
  <w:num w:numId="38" w16cid:durableId="772432571">
    <w:abstractNumId w:val="5"/>
  </w:num>
  <w:num w:numId="39" w16cid:durableId="1346175215">
    <w:abstractNumId w:val="8"/>
  </w:num>
  <w:num w:numId="40" w16cid:durableId="1074669478">
    <w:abstractNumId w:val="15"/>
  </w:num>
  <w:num w:numId="41" w16cid:durableId="2035301712">
    <w:abstractNumId w:val="3"/>
  </w:num>
  <w:num w:numId="42" w16cid:durableId="1330651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embedTrueTypeFonts/>
  <w:proofState w:spelling="clean" w:grammar="clean"/>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FD7"/>
    <w:rsid w:val="0000435A"/>
    <w:rsid w:val="00006A80"/>
    <w:rsid w:val="0001332E"/>
    <w:rsid w:val="00021154"/>
    <w:rsid w:val="000235F7"/>
    <w:rsid w:val="000274C1"/>
    <w:rsid w:val="0003018A"/>
    <w:rsid w:val="00036738"/>
    <w:rsid w:val="00041517"/>
    <w:rsid w:val="000509C7"/>
    <w:rsid w:val="00050C37"/>
    <w:rsid w:val="00060111"/>
    <w:rsid w:val="00071E17"/>
    <w:rsid w:val="00072F74"/>
    <w:rsid w:val="00074C12"/>
    <w:rsid w:val="00080C29"/>
    <w:rsid w:val="00084E4E"/>
    <w:rsid w:val="0009381F"/>
    <w:rsid w:val="00093BA8"/>
    <w:rsid w:val="000A35A9"/>
    <w:rsid w:val="000A67F5"/>
    <w:rsid w:val="000B041E"/>
    <w:rsid w:val="000B1DE9"/>
    <w:rsid w:val="000B3894"/>
    <w:rsid w:val="000C0247"/>
    <w:rsid w:val="000C07D8"/>
    <w:rsid w:val="000C1D11"/>
    <w:rsid w:val="000C2C9E"/>
    <w:rsid w:val="000D01A3"/>
    <w:rsid w:val="000D04A3"/>
    <w:rsid w:val="000D06DE"/>
    <w:rsid w:val="000F3622"/>
    <w:rsid w:val="00105010"/>
    <w:rsid w:val="00130104"/>
    <w:rsid w:val="001326B1"/>
    <w:rsid w:val="001412D5"/>
    <w:rsid w:val="00143B21"/>
    <w:rsid w:val="00173862"/>
    <w:rsid w:val="00192B8C"/>
    <w:rsid w:val="001971EA"/>
    <w:rsid w:val="00197B38"/>
    <w:rsid w:val="001C6FAE"/>
    <w:rsid w:val="001D783F"/>
    <w:rsid w:val="001E0FD8"/>
    <w:rsid w:val="001F0DC5"/>
    <w:rsid w:val="001F1F16"/>
    <w:rsid w:val="001F2C17"/>
    <w:rsid w:val="00206133"/>
    <w:rsid w:val="002221BC"/>
    <w:rsid w:val="002262ED"/>
    <w:rsid w:val="0023348C"/>
    <w:rsid w:val="00237570"/>
    <w:rsid w:val="00237EB3"/>
    <w:rsid w:val="002462CE"/>
    <w:rsid w:val="00252EB1"/>
    <w:rsid w:val="00262785"/>
    <w:rsid w:val="002723CD"/>
    <w:rsid w:val="00277474"/>
    <w:rsid w:val="00280A12"/>
    <w:rsid w:val="0029573D"/>
    <w:rsid w:val="002A1F45"/>
    <w:rsid w:val="002A7999"/>
    <w:rsid w:val="002A7CE3"/>
    <w:rsid w:val="002C05EA"/>
    <w:rsid w:val="002C6AD5"/>
    <w:rsid w:val="002C7436"/>
    <w:rsid w:val="002D2F37"/>
    <w:rsid w:val="002D35E2"/>
    <w:rsid w:val="002D673D"/>
    <w:rsid w:val="002E3731"/>
    <w:rsid w:val="00304E73"/>
    <w:rsid w:val="00305E38"/>
    <w:rsid w:val="00311836"/>
    <w:rsid w:val="003168FE"/>
    <w:rsid w:val="00323D84"/>
    <w:rsid w:val="003269E9"/>
    <w:rsid w:val="00327CFB"/>
    <w:rsid w:val="0034252E"/>
    <w:rsid w:val="003426E7"/>
    <w:rsid w:val="0034652D"/>
    <w:rsid w:val="00347AC6"/>
    <w:rsid w:val="00353BE6"/>
    <w:rsid w:val="00354747"/>
    <w:rsid w:val="003802EB"/>
    <w:rsid w:val="003A4D85"/>
    <w:rsid w:val="003A5463"/>
    <w:rsid w:val="003B3043"/>
    <w:rsid w:val="003B446D"/>
    <w:rsid w:val="003C6209"/>
    <w:rsid w:val="003D6A6C"/>
    <w:rsid w:val="003E1FD7"/>
    <w:rsid w:val="00410568"/>
    <w:rsid w:val="004233AB"/>
    <w:rsid w:val="00431A33"/>
    <w:rsid w:val="00432F03"/>
    <w:rsid w:val="00460A71"/>
    <w:rsid w:val="00461713"/>
    <w:rsid w:val="004649CB"/>
    <w:rsid w:val="0046551E"/>
    <w:rsid w:val="00470A1C"/>
    <w:rsid w:val="00471C9C"/>
    <w:rsid w:val="00483409"/>
    <w:rsid w:val="00484CF5"/>
    <w:rsid w:val="0049087B"/>
    <w:rsid w:val="004923D1"/>
    <w:rsid w:val="004A45BD"/>
    <w:rsid w:val="004B2B41"/>
    <w:rsid w:val="004B44B3"/>
    <w:rsid w:val="004B796A"/>
    <w:rsid w:val="004C3E0D"/>
    <w:rsid w:val="004C77FD"/>
    <w:rsid w:val="004D191F"/>
    <w:rsid w:val="004D1F6B"/>
    <w:rsid w:val="004D531D"/>
    <w:rsid w:val="004D70A1"/>
    <w:rsid w:val="004E0BB2"/>
    <w:rsid w:val="00504728"/>
    <w:rsid w:val="00515090"/>
    <w:rsid w:val="005272D7"/>
    <w:rsid w:val="0053057F"/>
    <w:rsid w:val="00530A96"/>
    <w:rsid w:val="00541FC8"/>
    <w:rsid w:val="005517DA"/>
    <w:rsid w:val="005707DE"/>
    <w:rsid w:val="0057096C"/>
    <w:rsid w:val="00571137"/>
    <w:rsid w:val="00573FB9"/>
    <w:rsid w:val="00582134"/>
    <w:rsid w:val="00592B1F"/>
    <w:rsid w:val="00594F52"/>
    <w:rsid w:val="005B7E0C"/>
    <w:rsid w:val="005C60A6"/>
    <w:rsid w:val="005D5729"/>
    <w:rsid w:val="005E45E9"/>
    <w:rsid w:val="0060045C"/>
    <w:rsid w:val="00600D96"/>
    <w:rsid w:val="00604AED"/>
    <w:rsid w:val="006055D1"/>
    <w:rsid w:val="00611E80"/>
    <w:rsid w:val="00611FC2"/>
    <w:rsid w:val="0061299F"/>
    <w:rsid w:val="00612E10"/>
    <w:rsid w:val="00623245"/>
    <w:rsid w:val="00640E59"/>
    <w:rsid w:val="0064651F"/>
    <w:rsid w:val="006500D7"/>
    <w:rsid w:val="0065499D"/>
    <w:rsid w:val="00667DE4"/>
    <w:rsid w:val="0067292C"/>
    <w:rsid w:val="00672F0E"/>
    <w:rsid w:val="006739D1"/>
    <w:rsid w:val="006902F9"/>
    <w:rsid w:val="0069063E"/>
    <w:rsid w:val="0069483A"/>
    <w:rsid w:val="006A40E4"/>
    <w:rsid w:val="006A4590"/>
    <w:rsid w:val="006B60FF"/>
    <w:rsid w:val="006E0ABA"/>
    <w:rsid w:val="006E0C43"/>
    <w:rsid w:val="006E422D"/>
    <w:rsid w:val="006E44E5"/>
    <w:rsid w:val="006F5338"/>
    <w:rsid w:val="007118D6"/>
    <w:rsid w:val="00714F0D"/>
    <w:rsid w:val="007157F6"/>
    <w:rsid w:val="00725991"/>
    <w:rsid w:val="007465A9"/>
    <w:rsid w:val="00751F61"/>
    <w:rsid w:val="00754071"/>
    <w:rsid w:val="00756EFC"/>
    <w:rsid w:val="00757BE1"/>
    <w:rsid w:val="007663FB"/>
    <w:rsid w:val="00767EB3"/>
    <w:rsid w:val="00783ED2"/>
    <w:rsid w:val="0078755A"/>
    <w:rsid w:val="007A6702"/>
    <w:rsid w:val="007A7AC1"/>
    <w:rsid w:val="007A7F0F"/>
    <w:rsid w:val="007C2321"/>
    <w:rsid w:val="007C7CA7"/>
    <w:rsid w:val="007E1F12"/>
    <w:rsid w:val="007E31E7"/>
    <w:rsid w:val="007E4A72"/>
    <w:rsid w:val="007F04DA"/>
    <w:rsid w:val="007F41F5"/>
    <w:rsid w:val="007F5F47"/>
    <w:rsid w:val="00801CB2"/>
    <w:rsid w:val="00807331"/>
    <w:rsid w:val="0082167D"/>
    <w:rsid w:val="00823D56"/>
    <w:rsid w:val="0085381F"/>
    <w:rsid w:val="00856830"/>
    <w:rsid w:val="00856E0B"/>
    <w:rsid w:val="008703E4"/>
    <w:rsid w:val="00871C6B"/>
    <w:rsid w:val="00875EE3"/>
    <w:rsid w:val="00880A8C"/>
    <w:rsid w:val="008858B2"/>
    <w:rsid w:val="008A2331"/>
    <w:rsid w:val="008A5A2D"/>
    <w:rsid w:val="008B648D"/>
    <w:rsid w:val="008C61D3"/>
    <w:rsid w:val="008D36D7"/>
    <w:rsid w:val="008F2FCC"/>
    <w:rsid w:val="008F6031"/>
    <w:rsid w:val="008F7395"/>
    <w:rsid w:val="00903CB0"/>
    <w:rsid w:val="0091306C"/>
    <w:rsid w:val="00945FA2"/>
    <w:rsid w:val="00947E4E"/>
    <w:rsid w:val="00952732"/>
    <w:rsid w:val="0095646A"/>
    <w:rsid w:val="009604F0"/>
    <w:rsid w:val="009678E6"/>
    <w:rsid w:val="00972B61"/>
    <w:rsid w:val="0098158B"/>
    <w:rsid w:val="0098621C"/>
    <w:rsid w:val="009901DF"/>
    <w:rsid w:val="0099114F"/>
    <w:rsid w:val="00995C65"/>
    <w:rsid w:val="009A1C44"/>
    <w:rsid w:val="009A29C4"/>
    <w:rsid w:val="009A62C7"/>
    <w:rsid w:val="009A7F64"/>
    <w:rsid w:val="009B2824"/>
    <w:rsid w:val="009B4D14"/>
    <w:rsid w:val="009C2569"/>
    <w:rsid w:val="009D1E0B"/>
    <w:rsid w:val="009E5242"/>
    <w:rsid w:val="009F0E1F"/>
    <w:rsid w:val="009F1801"/>
    <w:rsid w:val="009F4DE8"/>
    <w:rsid w:val="009F5326"/>
    <w:rsid w:val="009F5393"/>
    <w:rsid w:val="00A256BE"/>
    <w:rsid w:val="00A2687B"/>
    <w:rsid w:val="00A32CD6"/>
    <w:rsid w:val="00A33899"/>
    <w:rsid w:val="00A344FB"/>
    <w:rsid w:val="00A40688"/>
    <w:rsid w:val="00A51C33"/>
    <w:rsid w:val="00A5601B"/>
    <w:rsid w:val="00A56C5C"/>
    <w:rsid w:val="00A619E8"/>
    <w:rsid w:val="00A72966"/>
    <w:rsid w:val="00A8769D"/>
    <w:rsid w:val="00AA15E7"/>
    <w:rsid w:val="00AB2741"/>
    <w:rsid w:val="00AB2CAC"/>
    <w:rsid w:val="00AB3851"/>
    <w:rsid w:val="00AB74FC"/>
    <w:rsid w:val="00AC736A"/>
    <w:rsid w:val="00AD2588"/>
    <w:rsid w:val="00AE024E"/>
    <w:rsid w:val="00AE1D4C"/>
    <w:rsid w:val="00AE68CE"/>
    <w:rsid w:val="00AE6B89"/>
    <w:rsid w:val="00AE78CC"/>
    <w:rsid w:val="00AF367B"/>
    <w:rsid w:val="00AF74C4"/>
    <w:rsid w:val="00B0090F"/>
    <w:rsid w:val="00B12AE3"/>
    <w:rsid w:val="00B130AA"/>
    <w:rsid w:val="00B15253"/>
    <w:rsid w:val="00B37FD7"/>
    <w:rsid w:val="00B46582"/>
    <w:rsid w:val="00B60EF9"/>
    <w:rsid w:val="00B61FA1"/>
    <w:rsid w:val="00B63A44"/>
    <w:rsid w:val="00B82711"/>
    <w:rsid w:val="00B872EA"/>
    <w:rsid w:val="00B934EC"/>
    <w:rsid w:val="00B97F83"/>
    <w:rsid w:val="00BA706B"/>
    <w:rsid w:val="00BB7E2D"/>
    <w:rsid w:val="00BC111F"/>
    <w:rsid w:val="00BC1BF3"/>
    <w:rsid w:val="00BC6BAF"/>
    <w:rsid w:val="00BD6596"/>
    <w:rsid w:val="00BF0752"/>
    <w:rsid w:val="00BF254C"/>
    <w:rsid w:val="00BF7B0A"/>
    <w:rsid w:val="00C03DDC"/>
    <w:rsid w:val="00C06821"/>
    <w:rsid w:val="00C11E5F"/>
    <w:rsid w:val="00C12438"/>
    <w:rsid w:val="00C12CBF"/>
    <w:rsid w:val="00C21A40"/>
    <w:rsid w:val="00C3217C"/>
    <w:rsid w:val="00C35C8E"/>
    <w:rsid w:val="00C377D7"/>
    <w:rsid w:val="00C47397"/>
    <w:rsid w:val="00C50FF7"/>
    <w:rsid w:val="00C60D5F"/>
    <w:rsid w:val="00C633AE"/>
    <w:rsid w:val="00C6498E"/>
    <w:rsid w:val="00C6561E"/>
    <w:rsid w:val="00C6581F"/>
    <w:rsid w:val="00C703BC"/>
    <w:rsid w:val="00C709BB"/>
    <w:rsid w:val="00C7182A"/>
    <w:rsid w:val="00C7350F"/>
    <w:rsid w:val="00C766DE"/>
    <w:rsid w:val="00C95329"/>
    <w:rsid w:val="00C956DC"/>
    <w:rsid w:val="00C96865"/>
    <w:rsid w:val="00C968EB"/>
    <w:rsid w:val="00CA419A"/>
    <w:rsid w:val="00CB6AA0"/>
    <w:rsid w:val="00CC76C1"/>
    <w:rsid w:val="00CD0179"/>
    <w:rsid w:val="00CD1751"/>
    <w:rsid w:val="00CD18BC"/>
    <w:rsid w:val="00CD65B2"/>
    <w:rsid w:val="00CE2A3B"/>
    <w:rsid w:val="00CF2AC7"/>
    <w:rsid w:val="00CF5134"/>
    <w:rsid w:val="00D020E1"/>
    <w:rsid w:val="00D03909"/>
    <w:rsid w:val="00D3110D"/>
    <w:rsid w:val="00D32D1A"/>
    <w:rsid w:val="00D32D6F"/>
    <w:rsid w:val="00D41FBA"/>
    <w:rsid w:val="00D51D25"/>
    <w:rsid w:val="00D51E70"/>
    <w:rsid w:val="00D560BF"/>
    <w:rsid w:val="00D612ED"/>
    <w:rsid w:val="00D63135"/>
    <w:rsid w:val="00D66EC5"/>
    <w:rsid w:val="00D70915"/>
    <w:rsid w:val="00D84BAF"/>
    <w:rsid w:val="00D86BC8"/>
    <w:rsid w:val="00D91B12"/>
    <w:rsid w:val="00D93DC5"/>
    <w:rsid w:val="00DA146B"/>
    <w:rsid w:val="00DA24B9"/>
    <w:rsid w:val="00DD27B8"/>
    <w:rsid w:val="00DF1F5C"/>
    <w:rsid w:val="00DF2B28"/>
    <w:rsid w:val="00E03E84"/>
    <w:rsid w:val="00E10A89"/>
    <w:rsid w:val="00E23B16"/>
    <w:rsid w:val="00E34967"/>
    <w:rsid w:val="00E4091C"/>
    <w:rsid w:val="00E41827"/>
    <w:rsid w:val="00E6596E"/>
    <w:rsid w:val="00E6784D"/>
    <w:rsid w:val="00E876E0"/>
    <w:rsid w:val="00E90426"/>
    <w:rsid w:val="00E94E0B"/>
    <w:rsid w:val="00EB2473"/>
    <w:rsid w:val="00EB30E6"/>
    <w:rsid w:val="00EB4214"/>
    <w:rsid w:val="00EB6EFC"/>
    <w:rsid w:val="00EC2988"/>
    <w:rsid w:val="00EC7716"/>
    <w:rsid w:val="00ED2A05"/>
    <w:rsid w:val="00EE0360"/>
    <w:rsid w:val="00EE470A"/>
    <w:rsid w:val="00EF2632"/>
    <w:rsid w:val="00F019E4"/>
    <w:rsid w:val="00F11582"/>
    <w:rsid w:val="00F17538"/>
    <w:rsid w:val="00F24B02"/>
    <w:rsid w:val="00F32072"/>
    <w:rsid w:val="00F3497B"/>
    <w:rsid w:val="00F37F33"/>
    <w:rsid w:val="00F42A66"/>
    <w:rsid w:val="00F4368A"/>
    <w:rsid w:val="00F47516"/>
    <w:rsid w:val="00F667A3"/>
    <w:rsid w:val="00F733B9"/>
    <w:rsid w:val="00F7409B"/>
    <w:rsid w:val="00FA125A"/>
    <w:rsid w:val="00FA20DD"/>
    <w:rsid w:val="00FC1F6E"/>
    <w:rsid w:val="00FC4248"/>
    <w:rsid w:val="00FC6531"/>
    <w:rsid w:val="00FE309E"/>
    <w:rsid w:val="00FF2128"/>
  </w:rsids>
  <m:mathPr>
    <m:mathFont m:val="Cambria Math"/>
    <m:brkBin m:val="before"/>
    <m:brkBinSub m:val="--"/>
    <m:smallFrac m:val="0"/>
    <m:dispDef/>
    <m:lMargin m:val="0"/>
    <m:rMargin m:val="0"/>
    <m:defJc m:val="centerGroup"/>
    <m:wrapIndent m:val="1440"/>
    <m:intLim m:val="subSup"/>
    <m:naryLim m:val="undOvr"/>
  </m:mathPr>
  <w:themeFontLang w:val="de-A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AE1D3"/>
  <w15:chartTrackingRefBased/>
  <w15:docId w15:val="{72CCF8FF-93D3-46EE-B9AE-EC7B21FCA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7"/>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0" w:qFormat="1"/>
    <w:lsdException w:name="Emphasis" w:uiPriority="1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7"/>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8"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8" w:qFormat="1"/>
    <w:lsdException w:name="Intense Emphasis" w:uiPriority="21"/>
    <w:lsdException w:name="Subtle Reference" w:uiPriority="30" w:qFormat="1"/>
    <w:lsdException w:name="Intense Reference" w:uiPriority="32"/>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D36D7"/>
    <w:pPr>
      <w:spacing w:line="240" w:lineRule="auto"/>
    </w:pPr>
  </w:style>
  <w:style w:type="paragraph" w:styleId="berschrift1">
    <w:name w:val="heading 1"/>
    <w:basedOn w:val="Standard"/>
    <w:next w:val="Standard"/>
    <w:link w:val="berschrift1Zchn"/>
    <w:uiPriority w:val="4"/>
    <w:qFormat/>
    <w:rsid w:val="008D36D7"/>
    <w:pPr>
      <w:keepNext/>
      <w:keepLines/>
      <w:numPr>
        <w:numId w:val="34"/>
      </w:numPr>
      <w:spacing w:before="240" w:after="120"/>
      <w:outlineLvl w:val="0"/>
    </w:pPr>
    <w:rPr>
      <w:rFonts w:asciiTheme="majorHAnsi" w:eastAsiaTheme="majorEastAsia" w:hAnsiTheme="majorHAnsi" w:cstheme="majorBidi"/>
      <w:color w:val="000000" w:themeColor="text1"/>
      <w:sz w:val="28"/>
      <w:szCs w:val="32"/>
    </w:rPr>
  </w:style>
  <w:style w:type="paragraph" w:styleId="berschrift2">
    <w:name w:val="heading 2"/>
    <w:basedOn w:val="Standard"/>
    <w:next w:val="Standard"/>
    <w:link w:val="berschrift2Zchn"/>
    <w:uiPriority w:val="4"/>
    <w:qFormat/>
    <w:rsid w:val="008D36D7"/>
    <w:pPr>
      <w:keepNext/>
      <w:keepLines/>
      <w:numPr>
        <w:ilvl w:val="1"/>
        <w:numId w:val="34"/>
      </w:numPr>
      <w:spacing w:after="120"/>
      <w:outlineLvl w:val="1"/>
    </w:pPr>
    <w:rPr>
      <w:rFonts w:eastAsiaTheme="majorEastAsia" w:cstheme="majorBidi"/>
      <w:color w:val="000000" w:themeColor="text1"/>
      <w:sz w:val="26"/>
      <w:szCs w:val="26"/>
    </w:rPr>
  </w:style>
  <w:style w:type="paragraph" w:styleId="berschrift3">
    <w:name w:val="heading 3"/>
    <w:basedOn w:val="Standard"/>
    <w:next w:val="Standard"/>
    <w:link w:val="berschrift3Zchn"/>
    <w:uiPriority w:val="4"/>
    <w:qFormat/>
    <w:rsid w:val="008D36D7"/>
    <w:pPr>
      <w:keepNext/>
      <w:keepLines/>
      <w:numPr>
        <w:ilvl w:val="2"/>
        <w:numId w:val="34"/>
      </w:numPr>
      <w:spacing w:after="120"/>
      <w:outlineLvl w:val="2"/>
    </w:pPr>
    <w:rPr>
      <w:rFonts w:eastAsiaTheme="majorEastAsia" w:cstheme="majorBidi"/>
      <w:color w:val="0D0D0D" w:themeColor="text1" w:themeTint="F2"/>
      <w:szCs w:val="24"/>
      <w14:ligatures w14:val="none"/>
    </w:rPr>
  </w:style>
  <w:style w:type="paragraph" w:styleId="berschrift4">
    <w:name w:val="heading 4"/>
    <w:basedOn w:val="Abbildungsverzeichnis"/>
    <w:next w:val="Standard"/>
    <w:link w:val="berschrift4Zchn"/>
    <w:uiPriority w:val="4"/>
    <w:unhideWhenUsed/>
    <w:rsid w:val="009B4D14"/>
    <w:pPr>
      <w:tabs>
        <w:tab w:val="right" w:pos="9628"/>
      </w:tabs>
      <w:outlineLvl w:val="3"/>
    </w:pPr>
  </w:style>
  <w:style w:type="paragraph" w:styleId="berschrift5">
    <w:name w:val="heading 5"/>
    <w:basedOn w:val="berschrift4"/>
    <w:next w:val="Standard"/>
    <w:link w:val="berschrift5Zchn"/>
    <w:uiPriority w:val="4"/>
    <w:unhideWhenUsed/>
    <w:rsid w:val="009B4D14"/>
    <w:pPr>
      <w:outlineLvl w:val="4"/>
    </w:pPr>
  </w:style>
  <w:style w:type="paragraph" w:styleId="berschrift6">
    <w:name w:val="heading 6"/>
    <w:basedOn w:val="berschrift5"/>
    <w:next w:val="Standard"/>
    <w:link w:val="berschrift6Zchn"/>
    <w:uiPriority w:val="4"/>
    <w:unhideWhenUsed/>
    <w:rsid w:val="009B4D14"/>
    <w:pPr>
      <w:outlineLvl w:val="5"/>
    </w:pPr>
  </w:style>
  <w:style w:type="paragraph" w:styleId="berschrift7">
    <w:name w:val="heading 7"/>
    <w:basedOn w:val="berschrift6"/>
    <w:next w:val="Standard"/>
    <w:link w:val="berschrift7Zchn"/>
    <w:uiPriority w:val="4"/>
    <w:unhideWhenUsed/>
    <w:rsid w:val="009B4D14"/>
    <w:pPr>
      <w:outlineLvl w:val="6"/>
    </w:pPr>
  </w:style>
  <w:style w:type="paragraph" w:styleId="berschrift8">
    <w:name w:val="heading 8"/>
    <w:basedOn w:val="berschrift7"/>
    <w:next w:val="Standard"/>
    <w:link w:val="berschrift8Zchn"/>
    <w:uiPriority w:val="4"/>
    <w:unhideWhenUsed/>
    <w:rsid w:val="009B4D14"/>
    <w:pPr>
      <w:outlineLvl w:val="7"/>
    </w:pPr>
  </w:style>
  <w:style w:type="paragraph" w:styleId="berschrift9">
    <w:name w:val="heading 9"/>
    <w:basedOn w:val="berschrift8"/>
    <w:next w:val="Standard"/>
    <w:link w:val="berschrift9Zchn"/>
    <w:uiPriority w:val="4"/>
    <w:unhideWhenUsed/>
    <w:rsid w:val="009B4D14"/>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8"/>
    <w:unhideWhenUsed/>
    <w:rsid w:val="001326B1"/>
    <w:pPr>
      <w:tabs>
        <w:tab w:val="center" w:pos="4536"/>
        <w:tab w:val="right" w:pos="9072"/>
      </w:tabs>
      <w:spacing w:after="0"/>
    </w:pPr>
  </w:style>
  <w:style w:type="character" w:customStyle="1" w:styleId="KopfzeileZchn">
    <w:name w:val="Kopfzeile Zchn"/>
    <w:basedOn w:val="Absatz-Standardschriftart"/>
    <w:link w:val="Kopfzeile"/>
    <w:uiPriority w:val="98"/>
    <w:rsid w:val="00B82711"/>
  </w:style>
  <w:style w:type="paragraph" w:styleId="Fuzeile">
    <w:name w:val="footer"/>
    <w:basedOn w:val="Standard"/>
    <w:link w:val="FuzeileZchn"/>
    <w:uiPriority w:val="98"/>
    <w:unhideWhenUsed/>
    <w:rsid w:val="00E10A89"/>
    <w:pPr>
      <w:tabs>
        <w:tab w:val="center" w:pos="4536"/>
        <w:tab w:val="right" w:pos="9072"/>
      </w:tabs>
      <w:spacing w:after="0"/>
    </w:pPr>
    <w:rPr>
      <w:rFonts w:cs="Times New Roman (Textkörper CS)"/>
      <w:sz w:val="16"/>
    </w:rPr>
  </w:style>
  <w:style w:type="character" w:customStyle="1" w:styleId="FuzeileZchn">
    <w:name w:val="Fußzeile Zchn"/>
    <w:basedOn w:val="Absatz-Standardschriftart"/>
    <w:link w:val="Fuzeile"/>
    <w:uiPriority w:val="98"/>
    <w:rsid w:val="00B82711"/>
    <w:rPr>
      <w:rFonts w:cs="Times New Roman (Textkörper CS)"/>
      <w:sz w:val="16"/>
    </w:rPr>
  </w:style>
  <w:style w:type="character" w:customStyle="1" w:styleId="berschrift3Zchn">
    <w:name w:val="Überschrift 3 Zchn"/>
    <w:basedOn w:val="Absatz-Standardschriftart"/>
    <w:link w:val="berschrift3"/>
    <w:uiPriority w:val="4"/>
    <w:rsid w:val="008D36D7"/>
    <w:rPr>
      <w:rFonts w:eastAsiaTheme="majorEastAsia" w:cstheme="majorBidi"/>
      <w:color w:val="0D0D0D" w:themeColor="text1" w:themeTint="F2"/>
      <w:szCs w:val="24"/>
      <w14:ligatures w14:val="none"/>
    </w:rPr>
  </w:style>
  <w:style w:type="character" w:styleId="Hyperlink">
    <w:name w:val="Hyperlink"/>
    <w:basedOn w:val="Absatz-Standardschriftart"/>
    <w:uiPriority w:val="99"/>
    <w:unhideWhenUsed/>
    <w:rsid w:val="00CF5134"/>
    <w:rPr>
      <w:color w:val="000000" w:themeColor="hyperlink"/>
      <w:u w:val="single"/>
    </w:rPr>
  </w:style>
  <w:style w:type="character" w:styleId="NichtaufgelsteErwhnung">
    <w:name w:val="Unresolved Mention"/>
    <w:basedOn w:val="Absatz-Standardschriftart"/>
    <w:uiPriority w:val="99"/>
    <w:semiHidden/>
    <w:unhideWhenUsed/>
    <w:rsid w:val="00CF5134"/>
    <w:rPr>
      <w:color w:val="605E5C"/>
      <w:shd w:val="clear" w:color="auto" w:fill="E1DFDD"/>
    </w:rPr>
  </w:style>
  <w:style w:type="character" w:customStyle="1" w:styleId="berschrift1Zchn">
    <w:name w:val="Überschrift 1 Zchn"/>
    <w:basedOn w:val="Absatz-Standardschriftart"/>
    <w:link w:val="berschrift1"/>
    <w:uiPriority w:val="4"/>
    <w:rsid w:val="008D36D7"/>
    <w:rPr>
      <w:rFonts w:asciiTheme="majorHAnsi" w:eastAsiaTheme="majorEastAsia" w:hAnsiTheme="majorHAnsi" w:cstheme="majorBidi"/>
      <w:color w:val="000000" w:themeColor="text1"/>
      <w:sz w:val="28"/>
      <w:szCs w:val="32"/>
    </w:rPr>
  </w:style>
  <w:style w:type="paragraph" w:styleId="Inhaltsverzeichnisberschrift">
    <w:name w:val="TOC Heading"/>
    <w:basedOn w:val="berschriftKapitel"/>
    <w:next w:val="Standard"/>
    <w:uiPriority w:val="34"/>
    <w:unhideWhenUsed/>
    <w:rsid w:val="002A7999"/>
    <w:pPr>
      <w:spacing w:after="240"/>
    </w:pPr>
    <w:rPr>
      <w:bCs/>
      <w:szCs w:val="28"/>
      <w:lang w:eastAsia="de-DE"/>
      <w14:ligatures w14:val="none"/>
    </w:rPr>
  </w:style>
  <w:style w:type="paragraph" w:styleId="Verzeichnis1">
    <w:name w:val="toc 1"/>
    <w:basedOn w:val="Standard"/>
    <w:next w:val="Standard"/>
    <w:uiPriority w:val="39"/>
    <w:unhideWhenUsed/>
    <w:rsid w:val="00EB4214"/>
    <w:pPr>
      <w:spacing w:before="240" w:after="120"/>
    </w:pPr>
    <w:rPr>
      <w:rFonts w:asciiTheme="majorHAnsi" w:hAnsiTheme="majorHAnsi"/>
      <w:bCs/>
      <w:sz w:val="28"/>
      <w:szCs w:val="20"/>
    </w:rPr>
  </w:style>
  <w:style w:type="paragraph" w:styleId="Verzeichnis2">
    <w:name w:val="toc 2"/>
    <w:basedOn w:val="Standard"/>
    <w:next w:val="Standard"/>
    <w:uiPriority w:val="39"/>
    <w:unhideWhenUsed/>
    <w:rsid w:val="004C3E0D"/>
    <w:pPr>
      <w:spacing w:before="120" w:after="0"/>
    </w:pPr>
    <w:rPr>
      <w:b/>
      <w:iCs/>
      <w:szCs w:val="20"/>
    </w:rPr>
  </w:style>
  <w:style w:type="paragraph" w:styleId="Verzeichnis3">
    <w:name w:val="toc 3"/>
    <w:basedOn w:val="Standard"/>
    <w:next w:val="Standard"/>
    <w:uiPriority w:val="39"/>
    <w:unhideWhenUsed/>
    <w:rsid w:val="004C3E0D"/>
    <w:pPr>
      <w:spacing w:after="0"/>
      <w:ind w:left="680"/>
    </w:pPr>
    <w:rPr>
      <w:szCs w:val="20"/>
    </w:rPr>
  </w:style>
  <w:style w:type="paragraph" w:styleId="Verzeichnis4">
    <w:name w:val="toc 4"/>
    <w:basedOn w:val="Standard"/>
    <w:next w:val="Standard"/>
    <w:autoRedefine/>
    <w:uiPriority w:val="38"/>
    <w:unhideWhenUsed/>
    <w:rsid w:val="00EC2988"/>
    <w:pPr>
      <w:spacing w:after="0"/>
      <w:ind w:left="660"/>
    </w:pPr>
    <w:rPr>
      <w:sz w:val="20"/>
      <w:szCs w:val="20"/>
    </w:rPr>
  </w:style>
  <w:style w:type="paragraph" w:styleId="Verzeichnis5">
    <w:name w:val="toc 5"/>
    <w:basedOn w:val="Standard"/>
    <w:next w:val="Standard"/>
    <w:autoRedefine/>
    <w:uiPriority w:val="38"/>
    <w:unhideWhenUsed/>
    <w:rsid w:val="00EC2988"/>
    <w:pPr>
      <w:spacing w:after="0"/>
      <w:ind w:left="880"/>
    </w:pPr>
    <w:rPr>
      <w:sz w:val="20"/>
      <w:szCs w:val="20"/>
    </w:rPr>
  </w:style>
  <w:style w:type="paragraph" w:styleId="Verzeichnis6">
    <w:name w:val="toc 6"/>
    <w:basedOn w:val="Standard"/>
    <w:next w:val="Standard"/>
    <w:autoRedefine/>
    <w:uiPriority w:val="39"/>
    <w:semiHidden/>
    <w:unhideWhenUsed/>
    <w:rsid w:val="00EC2988"/>
    <w:pPr>
      <w:spacing w:after="0"/>
      <w:ind w:left="1100"/>
    </w:pPr>
    <w:rPr>
      <w:sz w:val="20"/>
      <w:szCs w:val="20"/>
    </w:rPr>
  </w:style>
  <w:style w:type="paragraph" w:styleId="Verzeichnis7">
    <w:name w:val="toc 7"/>
    <w:basedOn w:val="Standard"/>
    <w:next w:val="Standard"/>
    <w:autoRedefine/>
    <w:uiPriority w:val="39"/>
    <w:semiHidden/>
    <w:unhideWhenUsed/>
    <w:rsid w:val="00EC2988"/>
    <w:pPr>
      <w:spacing w:after="0"/>
      <w:ind w:left="1320"/>
    </w:pPr>
    <w:rPr>
      <w:sz w:val="20"/>
      <w:szCs w:val="20"/>
    </w:rPr>
  </w:style>
  <w:style w:type="paragraph" w:styleId="Verzeichnis8">
    <w:name w:val="toc 8"/>
    <w:basedOn w:val="Standard"/>
    <w:next w:val="Standard"/>
    <w:autoRedefine/>
    <w:uiPriority w:val="39"/>
    <w:semiHidden/>
    <w:unhideWhenUsed/>
    <w:rsid w:val="00EC2988"/>
    <w:pPr>
      <w:spacing w:after="0"/>
      <w:ind w:left="1540"/>
    </w:pPr>
    <w:rPr>
      <w:sz w:val="20"/>
      <w:szCs w:val="20"/>
    </w:rPr>
  </w:style>
  <w:style w:type="paragraph" w:styleId="Verzeichnis9">
    <w:name w:val="toc 9"/>
    <w:basedOn w:val="Standard"/>
    <w:next w:val="Standard"/>
    <w:autoRedefine/>
    <w:uiPriority w:val="39"/>
    <w:semiHidden/>
    <w:unhideWhenUsed/>
    <w:rsid w:val="00EC2988"/>
    <w:pPr>
      <w:spacing w:after="0"/>
      <w:ind w:left="1760"/>
    </w:pPr>
    <w:rPr>
      <w:sz w:val="20"/>
      <w:szCs w:val="20"/>
    </w:rPr>
  </w:style>
  <w:style w:type="paragraph" w:customStyle="1" w:styleId="berschriftKapitel">
    <w:name w:val="Überschrift Kapitel"/>
    <w:basedOn w:val="Standard"/>
    <w:next w:val="Standard"/>
    <w:uiPriority w:val="3"/>
    <w:qFormat/>
    <w:rsid w:val="008D36D7"/>
    <w:pPr>
      <w:spacing w:after="360"/>
      <w:contextualSpacing/>
    </w:pPr>
    <w:rPr>
      <w:rFonts w:asciiTheme="majorHAnsi" w:hAnsiTheme="majorHAnsi"/>
      <w:sz w:val="48"/>
    </w:rPr>
  </w:style>
  <w:style w:type="paragraph" w:customStyle="1" w:styleId="berschriftohneNummerierung1">
    <w:name w:val="Überschrift ohne Nummerierung 1"/>
    <w:basedOn w:val="Standard"/>
    <w:next w:val="Standard"/>
    <w:uiPriority w:val="3"/>
    <w:qFormat/>
    <w:rsid w:val="008D36D7"/>
    <w:pPr>
      <w:spacing w:before="240"/>
      <w:contextualSpacing/>
    </w:pPr>
    <w:rPr>
      <w:rFonts w:asciiTheme="majorHAnsi" w:hAnsiTheme="majorHAnsi"/>
      <w:sz w:val="28"/>
    </w:rPr>
  </w:style>
  <w:style w:type="paragraph" w:customStyle="1" w:styleId="SubtitelohneBild">
    <w:name w:val="Subtitel ohne Bild"/>
    <w:basedOn w:val="Standard"/>
    <w:uiPriority w:val="1"/>
    <w:qFormat/>
    <w:rsid w:val="008D36D7"/>
    <w:pPr>
      <w:spacing w:before="240" w:after="0" w:line="480" w:lineRule="exact"/>
      <w:contextualSpacing/>
    </w:pPr>
    <w:rPr>
      <w:sz w:val="40"/>
    </w:rPr>
  </w:style>
  <w:style w:type="numbering" w:customStyle="1" w:styleId="AktuelleListe1">
    <w:name w:val="Aktuelle Liste1"/>
    <w:uiPriority w:val="99"/>
    <w:rsid w:val="002A7999"/>
    <w:pPr>
      <w:numPr>
        <w:numId w:val="2"/>
      </w:numPr>
    </w:pPr>
  </w:style>
  <w:style w:type="numbering" w:customStyle="1" w:styleId="AktuelleListe2">
    <w:name w:val="Aktuelle Liste2"/>
    <w:uiPriority w:val="99"/>
    <w:rsid w:val="002A7999"/>
    <w:pPr>
      <w:numPr>
        <w:numId w:val="3"/>
      </w:numPr>
    </w:pPr>
  </w:style>
  <w:style w:type="character" w:customStyle="1" w:styleId="berschrift2Zchn">
    <w:name w:val="Überschrift 2 Zchn"/>
    <w:basedOn w:val="Absatz-Standardschriftart"/>
    <w:link w:val="berschrift2"/>
    <w:uiPriority w:val="4"/>
    <w:rsid w:val="008D36D7"/>
    <w:rPr>
      <w:rFonts w:eastAsiaTheme="majorEastAsia" w:cstheme="majorBidi"/>
      <w:color w:val="000000" w:themeColor="text1"/>
      <w:sz w:val="26"/>
      <w:szCs w:val="26"/>
    </w:rPr>
  </w:style>
  <w:style w:type="numbering" w:customStyle="1" w:styleId="AktuelleListe3">
    <w:name w:val="Aktuelle Liste3"/>
    <w:uiPriority w:val="99"/>
    <w:rsid w:val="00856E0B"/>
    <w:pPr>
      <w:numPr>
        <w:numId w:val="5"/>
      </w:numPr>
    </w:pPr>
  </w:style>
  <w:style w:type="numbering" w:customStyle="1" w:styleId="AktuelleListe4">
    <w:name w:val="Aktuelle Liste4"/>
    <w:uiPriority w:val="99"/>
    <w:rsid w:val="00856E0B"/>
    <w:pPr>
      <w:numPr>
        <w:numId w:val="6"/>
      </w:numPr>
    </w:pPr>
  </w:style>
  <w:style w:type="numbering" w:customStyle="1" w:styleId="AktuelleListe5">
    <w:name w:val="Aktuelle Liste5"/>
    <w:uiPriority w:val="99"/>
    <w:rsid w:val="00856E0B"/>
    <w:pPr>
      <w:numPr>
        <w:numId w:val="7"/>
      </w:numPr>
    </w:pPr>
  </w:style>
  <w:style w:type="numbering" w:customStyle="1" w:styleId="AktuelleListe6">
    <w:name w:val="Aktuelle Liste6"/>
    <w:uiPriority w:val="99"/>
    <w:rsid w:val="00856E0B"/>
    <w:pPr>
      <w:numPr>
        <w:numId w:val="8"/>
      </w:numPr>
    </w:pPr>
  </w:style>
  <w:style w:type="numbering" w:customStyle="1" w:styleId="AktuelleListe7">
    <w:name w:val="Aktuelle Liste7"/>
    <w:uiPriority w:val="99"/>
    <w:rsid w:val="00856E0B"/>
    <w:pPr>
      <w:numPr>
        <w:numId w:val="9"/>
      </w:numPr>
    </w:pPr>
  </w:style>
  <w:style w:type="numbering" w:customStyle="1" w:styleId="AktuelleListe8">
    <w:name w:val="Aktuelle Liste8"/>
    <w:uiPriority w:val="99"/>
    <w:rsid w:val="00856E0B"/>
    <w:pPr>
      <w:numPr>
        <w:numId w:val="10"/>
      </w:numPr>
    </w:pPr>
  </w:style>
  <w:style w:type="numbering" w:customStyle="1" w:styleId="AktuelleListe9">
    <w:name w:val="Aktuelle Liste9"/>
    <w:uiPriority w:val="99"/>
    <w:rsid w:val="00304E73"/>
    <w:pPr>
      <w:numPr>
        <w:numId w:val="12"/>
      </w:numPr>
    </w:pPr>
  </w:style>
  <w:style w:type="paragraph" w:customStyle="1" w:styleId="berschriftohneNummerierung2">
    <w:name w:val="Überschrift ohne Nummerierung 2"/>
    <w:basedOn w:val="Standard"/>
    <w:uiPriority w:val="3"/>
    <w:qFormat/>
    <w:rsid w:val="008D36D7"/>
    <w:pPr>
      <w:spacing w:before="240"/>
      <w:contextualSpacing/>
    </w:pPr>
    <w:rPr>
      <w:sz w:val="28"/>
    </w:rPr>
  </w:style>
  <w:style w:type="character" w:customStyle="1" w:styleId="berschrift4Zchn">
    <w:name w:val="Überschrift 4 Zchn"/>
    <w:basedOn w:val="Absatz-Standardschriftart"/>
    <w:link w:val="berschrift4"/>
    <w:uiPriority w:val="4"/>
    <w:rsid w:val="00B82711"/>
  </w:style>
  <w:style w:type="character" w:customStyle="1" w:styleId="berschrift5Zchn">
    <w:name w:val="Überschrift 5 Zchn"/>
    <w:basedOn w:val="Absatz-Standardschriftart"/>
    <w:link w:val="berschrift5"/>
    <w:uiPriority w:val="4"/>
    <w:rsid w:val="00B82711"/>
  </w:style>
  <w:style w:type="character" w:customStyle="1" w:styleId="berschrift6Zchn">
    <w:name w:val="Überschrift 6 Zchn"/>
    <w:basedOn w:val="Absatz-Standardschriftart"/>
    <w:link w:val="berschrift6"/>
    <w:uiPriority w:val="4"/>
    <w:rsid w:val="00B82711"/>
  </w:style>
  <w:style w:type="character" w:customStyle="1" w:styleId="berschrift9Zchn">
    <w:name w:val="Überschrift 9 Zchn"/>
    <w:basedOn w:val="Absatz-Standardschriftart"/>
    <w:link w:val="berschrift9"/>
    <w:uiPriority w:val="4"/>
    <w:rsid w:val="00B82711"/>
  </w:style>
  <w:style w:type="paragraph" w:customStyle="1" w:styleId="TitelmitBild">
    <w:name w:val="Titel mit Bild"/>
    <w:basedOn w:val="Standard"/>
    <w:next w:val="SubtitelmitBild"/>
    <w:qFormat/>
    <w:rsid w:val="008D36D7"/>
    <w:pPr>
      <w:spacing w:after="0" w:line="640" w:lineRule="exact"/>
      <w:ind w:left="567"/>
      <w:contextualSpacing/>
    </w:pPr>
    <w:rPr>
      <w:rFonts w:asciiTheme="majorHAnsi" w:eastAsia="Nunito Sans Light" w:hAnsiTheme="majorHAnsi" w:cstheme="majorBidi"/>
      <w:spacing w:val="-10"/>
      <w:kern w:val="28"/>
      <w:sz w:val="56"/>
      <w:szCs w:val="56"/>
    </w:rPr>
  </w:style>
  <w:style w:type="paragraph" w:customStyle="1" w:styleId="SubtitelmitBild">
    <w:name w:val="Subtitel mit Bild"/>
    <w:basedOn w:val="SubtitelohneBild"/>
    <w:uiPriority w:val="1"/>
    <w:qFormat/>
    <w:rsid w:val="008D36D7"/>
    <w:pPr>
      <w:ind w:left="567"/>
    </w:pPr>
  </w:style>
  <w:style w:type="paragraph" w:customStyle="1" w:styleId="TitelohneBild">
    <w:name w:val="Titel ohne Bild"/>
    <w:basedOn w:val="Standard"/>
    <w:qFormat/>
    <w:rsid w:val="008D36D7"/>
    <w:pPr>
      <w:spacing w:after="0" w:line="640" w:lineRule="exact"/>
      <w:contextualSpacing/>
    </w:pPr>
    <w:rPr>
      <w:rFonts w:asciiTheme="majorHAnsi" w:eastAsia="Nunito Sans Light" w:hAnsiTheme="majorHAnsi" w:cstheme="majorBidi"/>
      <w:spacing w:val="-10"/>
      <w:kern w:val="28"/>
      <w:sz w:val="56"/>
      <w:szCs w:val="56"/>
    </w:rPr>
  </w:style>
  <w:style w:type="paragraph" w:styleId="Listenabsatz">
    <w:name w:val="List Paragraph"/>
    <w:basedOn w:val="Standard"/>
    <w:uiPriority w:val="33"/>
    <w:qFormat/>
    <w:rsid w:val="008D36D7"/>
    <w:pPr>
      <w:ind w:left="851"/>
      <w:contextualSpacing/>
    </w:pPr>
  </w:style>
  <w:style w:type="paragraph" w:customStyle="1" w:styleId="AufzhlungStandard">
    <w:name w:val="Aufzählung Standard"/>
    <w:basedOn w:val="Standard"/>
    <w:uiPriority w:val="6"/>
    <w:qFormat/>
    <w:rsid w:val="008D36D7"/>
    <w:pPr>
      <w:numPr>
        <w:numId w:val="39"/>
      </w:numPr>
    </w:pPr>
  </w:style>
  <w:style w:type="paragraph" w:customStyle="1" w:styleId="NummerierungStandard">
    <w:name w:val="Nummerierung Standard"/>
    <w:basedOn w:val="Standard"/>
    <w:uiPriority w:val="8"/>
    <w:qFormat/>
    <w:rsid w:val="008D36D7"/>
    <w:pPr>
      <w:numPr>
        <w:numId w:val="40"/>
      </w:numPr>
    </w:pPr>
  </w:style>
  <w:style w:type="paragraph" w:customStyle="1" w:styleId="StandardEinzug1">
    <w:name w:val="Standard Einzug 1."/>
    <w:basedOn w:val="Standard"/>
    <w:qFormat/>
    <w:rsid w:val="008D36D7"/>
    <w:pPr>
      <w:ind w:left="567"/>
    </w:pPr>
  </w:style>
  <w:style w:type="paragraph" w:customStyle="1" w:styleId="AufzhlungEinzug1">
    <w:name w:val="Aufzählung Einzug 1."/>
    <w:basedOn w:val="AufzhlungStandard"/>
    <w:uiPriority w:val="7"/>
    <w:qFormat/>
    <w:rsid w:val="008D36D7"/>
    <w:pPr>
      <w:ind w:left="924"/>
    </w:pPr>
  </w:style>
  <w:style w:type="paragraph" w:customStyle="1" w:styleId="NummerierungEinzug1">
    <w:name w:val="Nummerierung Einzug 1."/>
    <w:basedOn w:val="AufzhlungEinzug1"/>
    <w:uiPriority w:val="9"/>
    <w:qFormat/>
    <w:rsid w:val="008D36D7"/>
    <w:pPr>
      <w:numPr>
        <w:numId w:val="38"/>
      </w:numPr>
    </w:pPr>
  </w:style>
  <w:style w:type="numbering" w:customStyle="1" w:styleId="AktuelleListe10">
    <w:name w:val="Aktuelle Liste10"/>
    <w:uiPriority w:val="99"/>
    <w:rsid w:val="00DF1F5C"/>
    <w:pPr>
      <w:numPr>
        <w:numId w:val="17"/>
      </w:numPr>
    </w:pPr>
  </w:style>
  <w:style w:type="paragraph" w:customStyle="1" w:styleId="AufzhlungEinzug111">
    <w:name w:val="Aufzählung Einzug 1.1.1"/>
    <w:basedOn w:val="AufzhlungStandard"/>
    <w:uiPriority w:val="7"/>
    <w:qFormat/>
    <w:rsid w:val="008D36D7"/>
    <w:pPr>
      <w:ind w:left="1775"/>
    </w:pPr>
  </w:style>
  <w:style w:type="paragraph" w:customStyle="1" w:styleId="NummerierungEinzug111">
    <w:name w:val="Nummerierung Einzug 1.1.1."/>
    <w:basedOn w:val="NummerierungStandard"/>
    <w:uiPriority w:val="9"/>
    <w:qFormat/>
    <w:rsid w:val="008D36D7"/>
    <w:pPr>
      <w:ind w:left="1775" w:hanging="357"/>
    </w:pPr>
  </w:style>
  <w:style w:type="paragraph" w:customStyle="1" w:styleId="StandardEinzug111">
    <w:name w:val="Standard Einzug 1.1.1."/>
    <w:basedOn w:val="Standard"/>
    <w:qFormat/>
    <w:rsid w:val="008D36D7"/>
    <w:pPr>
      <w:ind w:left="1418"/>
    </w:pPr>
  </w:style>
  <w:style w:type="numbering" w:customStyle="1" w:styleId="AktuelleListe11">
    <w:name w:val="Aktuelle Liste11"/>
    <w:uiPriority w:val="99"/>
    <w:rsid w:val="00E6784D"/>
    <w:pPr>
      <w:numPr>
        <w:numId w:val="20"/>
      </w:numPr>
    </w:pPr>
  </w:style>
  <w:style w:type="table" w:styleId="Tabellenraster">
    <w:name w:val="Table Grid"/>
    <w:basedOn w:val="NormaleTabelle"/>
    <w:uiPriority w:val="39"/>
    <w:rsid w:val="009F0E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rechts">
    <w:name w:val="Tabelle rechts"/>
    <w:basedOn w:val="Standard"/>
    <w:uiPriority w:val="11"/>
    <w:qFormat/>
    <w:rsid w:val="008D36D7"/>
    <w:pPr>
      <w:spacing w:after="0"/>
      <w:jc w:val="right"/>
    </w:pPr>
    <w:rPr>
      <w:sz w:val="18"/>
    </w:rPr>
  </w:style>
  <w:style w:type="paragraph" w:styleId="Beschriftung">
    <w:name w:val="caption"/>
    <w:basedOn w:val="Standard"/>
    <w:next w:val="Standard"/>
    <w:uiPriority w:val="18"/>
    <w:qFormat/>
    <w:rsid w:val="008D36D7"/>
    <w:pPr>
      <w:spacing w:before="120" w:after="200"/>
    </w:pPr>
    <w:rPr>
      <w:iCs/>
      <w:color w:val="000000" w:themeColor="text1"/>
      <w:sz w:val="16"/>
      <w:szCs w:val="18"/>
    </w:rPr>
  </w:style>
  <w:style w:type="paragraph" w:styleId="Funotentext">
    <w:name w:val="footnote text"/>
    <w:basedOn w:val="Standard"/>
    <w:link w:val="FunotentextZchn"/>
    <w:uiPriority w:val="99"/>
    <w:semiHidden/>
    <w:unhideWhenUsed/>
    <w:rsid w:val="0046551E"/>
    <w:pPr>
      <w:spacing w:after="0"/>
    </w:pPr>
    <w:rPr>
      <w:sz w:val="15"/>
      <w:szCs w:val="20"/>
    </w:rPr>
  </w:style>
  <w:style w:type="character" w:customStyle="1" w:styleId="FunotentextZchn">
    <w:name w:val="Fußnotentext Zchn"/>
    <w:basedOn w:val="Absatz-Standardschriftart"/>
    <w:link w:val="Funotentext"/>
    <w:uiPriority w:val="99"/>
    <w:semiHidden/>
    <w:rsid w:val="0046551E"/>
    <w:rPr>
      <w:sz w:val="15"/>
      <w:szCs w:val="20"/>
    </w:rPr>
  </w:style>
  <w:style w:type="character" w:styleId="Funotenzeichen">
    <w:name w:val="footnote reference"/>
    <w:basedOn w:val="Absatz-Standardschriftart"/>
    <w:uiPriority w:val="99"/>
    <w:semiHidden/>
    <w:unhideWhenUsed/>
    <w:rsid w:val="00AD2588"/>
    <w:rPr>
      <w:vertAlign w:val="superscript"/>
    </w:rPr>
  </w:style>
  <w:style w:type="paragraph" w:styleId="Abbildungsverzeichnis">
    <w:name w:val="table of figures"/>
    <w:basedOn w:val="Standard"/>
    <w:next w:val="Standard"/>
    <w:uiPriority w:val="99"/>
    <w:unhideWhenUsed/>
    <w:rsid w:val="005E45E9"/>
    <w:pPr>
      <w:spacing w:after="0"/>
    </w:pPr>
  </w:style>
  <w:style w:type="paragraph" w:styleId="Literaturverzeichnis">
    <w:name w:val="Bibliography"/>
    <w:basedOn w:val="Standard"/>
    <w:next w:val="Standard"/>
    <w:uiPriority w:val="36"/>
    <w:unhideWhenUsed/>
    <w:rsid w:val="005E45E9"/>
  </w:style>
  <w:style w:type="paragraph" w:customStyle="1" w:styleId="berschriftVerzeichnisse">
    <w:name w:val="Überschrift Verzeichnisse"/>
    <w:basedOn w:val="Inhaltsverzeichnisberschrift"/>
    <w:uiPriority w:val="35"/>
    <w:qFormat/>
    <w:rsid w:val="008D36D7"/>
    <w:rPr>
      <w:sz w:val="28"/>
      <w:lang w:val="de-DE"/>
    </w:rPr>
  </w:style>
  <w:style w:type="paragraph" w:customStyle="1" w:styleId="Kleingedrucktes">
    <w:name w:val="Kleingedrucktes"/>
    <w:basedOn w:val="Standard"/>
    <w:uiPriority w:val="12"/>
    <w:qFormat/>
    <w:rsid w:val="008D36D7"/>
    <w:rPr>
      <w:sz w:val="16"/>
    </w:rPr>
  </w:style>
  <w:style w:type="paragraph" w:customStyle="1" w:styleId="Logo">
    <w:name w:val="Logo"/>
    <w:basedOn w:val="Standard"/>
    <w:rsid w:val="00CA419A"/>
    <w:pPr>
      <w:spacing w:after="0"/>
      <w:ind w:right="-340"/>
      <w:jc w:val="right"/>
    </w:pPr>
    <w:rPr>
      <w:rFonts w:eastAsiaTheme="minorEastAsia"/>
      <w14:ligatures w14:val="none"/>
    </w:rPr>
  </w:style>
  <w:style w:type="paragraph" w:customStyle="1" w:styleId="Strer">
    <w:name w:val="Störer"/>
    <w:basedOn w:val="Standard"/>
    <w:uiPriority w:val="2"/>
    <w:rsid w:val="00D3110D"/>
    <w:pPr>
      <w:spacing w:after="0"/>
      <w:jc w:val="center"/>
    </w:pPr>
    <w:rPr>
      <w:rFonts w:asciiTheme="majorHAnsi" w:hAnsiTheme="majorHAnsi" w:cs="Times New Roman (Textkörper CS)"/>
      <w:sz w:val="56"/>
    </w:rPr>
  </w:style>
  <w:style w:type="character" w:customStyle="1" w:styleId="berschrift7Zchn">
    <w:name w:val="Überschrift 7 Zchn"/>
    <w:basedOn w:val="Absatz-Standardschriftart"/>
    <w:link w:val="berschrift7"/>
    <w:uiPriority w:val="4"/>
    <w:rsid w:val="00B82711"/>
  </w:style>
  <w:style w:type="character" w:customStyle="1" w:styleId="berschrift8Zchn">
    <w:name w:val="Überschrift 8 Zchn"/>
    <w:basedOn w:val="Absatz-Standardschriftart"/>
    <w:link w:val="berschrift8"/>
    <w:uiPriority w:val="4"/>
    <w:rsid w:val="00B82711"/>
  </w:style>
  <w:style w:type="character" w:styleId="IntensiveHervorhebung">
    <w:name w:val="Intense Emphasis"/>
    <w:basedOn w:val="Absatz-Standardschriftart"/>
    <w:uiPriority w:val="20"/>
    <w:rsid w:val="009B4D14"/>
    <w:rPr>
      <w:i/>
      <w:iCs/>
      <w:color w:val="DE4926" w:themeColor="accent3"/>
    </w:rPr>
  </w:style>
  <w:style w:type="paragraph" w:styleId="IntensivesZitat">
    <w:name w:val="Intense Quote"/>
    <w:basedOn w:val="Standard"/>
    <w:next w:val="Standard"/>
    <w:link w:val="IntensivesZitatZchn"/>
    <w:uiPriority w:val="29"/>
    <w:rsid w:val="009B4D14"/>
    <w:pPr>
      <w:pBdr>
        <w:top w:val="single" w:sz="4" w:space="10" w:color="FFD500" w:themeColor="accent1"/>
        <w:bottom w:val="single" w:sz="4" w:space="10" w:color="FFD500" w:themeColor="accent1"/>
      </w:pBdr>
      <w:spacing w:before="360" w:after="360"/>
      <w:ind w:left="864" w:right="864"/>
      <w:jc w:val="center"/>
    </w:pPr>
    <w:rPr>
      <w:i/>
      <w:iCs/>
      <w:color w:val="DE4926" w:themeColor="accent3"/>
    </w:rPr>
  </w:style>
  <w:style w:type="character" w:customStyle="1" w:styleId="IntensivesZitatZchn">
    <w:name w:val="Intensives Zitat Zchn"/>
    <w:basedOn w:val="Absatz-Standardschriftart"/>
    <w:link w:val="IntensivesZitat"/>
    <w:uiPriority w:val="29"/>
    <w:rsid w:val="00B82711"/>
    <w:rPr>
      <w:i/>
      <w:iCs/>
      <w:color w:val="DE4926" w:themeColor="accent3"/>
    </w:rPr>
  </w:style>
  <w:style w:type="character" w:styleId="IntensiverVerweis">
    <w:name w:val="Intense Reference"/>
    <w:basedOn w:val="Absatz-Standardschriftart"/>
    <w:uiPriority w:val="31"/>
    <w:rsid w:val="009B4D14"/>
    <w:rPr>
      <w:b/>
      <w:bCs/>
      <w:smallCaps/>
      <w:color w:val="DE4926" w:themeColor="accent3"/>
      <w:spacing w:val="5"/>
    </w:rPr>
  </w:style>
  <w:style w:type="paragraph" w:styleId="Blocktext">
    <w:name w:val="Block Text"/>
    <w:basedOn w:val="Standard"/>
    <w:uiPriority w:val="99"/>
    <w:semiHidden/>
    <w:unhideWhenUsed/>
    <w:rsid w:val="009B4D14"/>
    <w:pPr>
      <w:pBdr>
        <w:top w:val="single" w:sz="2" w:space="10" w:color="FFD500" w:themeColor="accent1"/>
        <w:left w:val="single" w:sz="2" w:space="10" w:color="FFD500" w:themeColor="accent1"/>
        <w:bottom w:val="single" w:sz="2" w:space="10" w:color="FFD500" w:themeColor="accent1"/>
        <w:right w:val="single" w:sz="2" w:space="10" w:color="FFD500" w:themeColor="accent1"/>
      </w:pBdr>
      <w:ind w:left="1152" w:right="1152"/>
    </w:pPr>
    <w:rPr>
      <w:rFonts w:eastAsiaTheme="minorEastAsia"/>
      <w:i/>
      <w:iCs/>
      <w:color w:val="DE4926" w:themeColor="accent3"/>
    </w:rPr>
  </w:style>
  <w:style w:type="character" w:styleId="SmartLink">
    <w:name w:val="Smart Link"/>
    <w:basedOn w:val="Absatz-Standardschriftart"/>
    <w:uiPriority w:val="99"/>
    <w:semiHidden/>
    <w:unhideWhenUsed/>
    <w:rsid w:val="009B4D14"/>
    <w:rPr>
      <w:color w:val="4B88C5" w:themeColor="accent2"/>
      <w:u w:val="single"/>
      <w:shd w:val="clear" w:color="auto" w:fill="F3F2F1"/>
    </w:rPr>
  </w:style>
  <w:style w:type="character" w:styleId="Fett">
    <w:name w:val="Strong"/>
    <w:basedOn w:val="Absatz-Standardschriftart"/>
    <w:uiPriority w:val="14"/>
    <w:qFormat/>
    <w:rsid w:val="008D36D7"/>
    <w:rPr>
      <w:b/>
      <w:bCs/>
    </w:rPr>
  </w:style>
  <w:style w:type="paragraph" w:customStyle="1" w:styleId="Tabellelinks">
    <w:name w:val="Tabelle links"/>
    <w:basedOn w:val="Tabellerechts"/>
    <w:uiPriority w:val="10"/>
    <w:qFormat/>
    <w:rsid w:val="008D36D7"/>
    <w:pPr>
      <w:jc w:val="left"/>
    </w:pPr>
  </w:style>
  <w:style w:type="paragraph" w:customStyle="1" w:styleId="Zwischenberschrift">
    <w:name w:val="Zwischenüberschrift"/>
    <w:basedOn w:val="Standard"/>
    <w:uiPriority w:val="5"/>
    <w:qFormat/>
    <w:rsid w:val="008D36D7"/>
    <w:rPr>
      <w:rFonts w:asciiTheme="majorHAnsi" w:hAnsiTheme="majorHAnsi"/>
      <w:b/>
      <w:bCs/>
    </w:rPr>
  </w:style>
  <w:style w:type="paragraph" w:styleId="Titel">
    <w:name w:val="Title"/>
    <w:basedOn w:val="Standard"/>
    <w:next w:val="Standard"/>
    <w:link w:val="TitelZchn"/>
    <w:uiPriority w:val="9"/>
    <w:semiHidden/>
    <w:unhideWhenUsed/>
    <w:qFormat/>
    <w:rsid w:val="00AE78CC"/>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9"/>
    <w:semiHidden/>
    <w:rsid w:val="00AE78C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97"/>
    <w:rsid w:val="00AE78C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97"/>
    <w:rsid w:val="00AE78C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8"/>
    <w:qFormat/>
    <w:rsid w:val="00AE78CC"/>
    <w:pPr>
      <w:spacing w:before="160"/>
      <w:jc w:val="center"/>
    </w:pPr>
    <w:rPr>
      <w:i/>
      <w:iCs/>
      <w:color w:val="404040" w:themeColor="text1" w:themeTint="BF"/>
    </w:rPr>
  </w:style>
  <w:style w:type="character" w:customStyle="1" w:styleId="ZitatZchn">
    <w:name w:val="Zitat Zchn"/>
    <w:basedOn w:val="Absatz-Standardschriftart"/>
    <w:link w:val="Zitat"/>
    <w:uiPriority w:val="28"/>
    <w:rsid w:val="00AE78CC"/>
    <w:rPr>
      <w:i/>
      <w:iCs/>
      <w:color w:val="404040" w:themeColor="text1" w:themeTint="BF"/>
    </w:rPr>
  </w:style>
  <w:style w:type="character" w:styleId="Kommentarzeichen">
    <w:name w:val="annotation reference"/>
    <w:basedOn w:val="Absatz-Standardschriftart"/>
    <w:uiPriority w:val="99"/>
    <w:semiHidden/>
    <w:unhideWhenUsed/>
    <w:rsid w:val="00612E10"/>
    <w:rPr>
      <w:sz w:val="16"/>
      <w:szCs w:val="16"/>
    </w:rPr>
  </w:style>
  <w:style w:type="paragraph" w:styleId="Kommentartext">
    <w:name w:val="annotation text"/>
    <w:basedOn w:val="Standard"/>
    <w:link w:val="KommentartextZchn"/>
    <w:uiPriority w:val="99"/>
    <w:semiHidden/>
    <w:unhideWhenUsed/>
    <w:rsid w:val="00612E10"/>
    <w:rPr>
      <w:sz w:val="20"/>
      <w:szCs w:val="20"/>
    </w:rPr>
  </w:style>
  <w:style w:type="character" w:customStyle="1" w:styleId="KommentartextZchn">
    <w:name w:val="Kommentartext Zchn"/>
    <w:basedOn w:val="Absatz-Standardschriftart"/>
    <w:link w:val="Kommentartext"/>
    <w:uiPriority w:val="99"/>
    <w:semiHidden/>
    <w:rsid w:val="00612E10"/>
    <w:rPr>
      <w:sz w:val="20"/>
      <w:szCs w:val="20"/>
    </w:rPr>
  </w:style>
  <w:style w:type="paragraph" w:styleId="Kommentarthema">
    <w:name w:val="annotation subject"/>
    <w:basedOn w:val="Kommentartext"/>
    <w:next w:val="Kommentartext"/>
    <w:link w:val="KommentarthemaZchn"/>
    <w:uiPriority w:val="99"/>
    <w:semiHidden/>
    <w:unhideWhenUsed/>
    <w:rsid w:val="00612E10"/>
    <w:rPr>
      <w:b/>
      <w:bCs/>
    </w:rPr>
  </w:style>
  <w:style w:type="character" w:customStyle="1" w:styleId="KommentarthemaZchn">
    <w:name w:val="Kommentarthema Zchn"/>
    <w:basedOn w:val="KommentartextZchn"/>
    <w:link w:val="Kommentarthema"/>
    <w:uiPriority w:val="99"/>
    <w:semiHidden/>
    <w:rsid w:val="00612E10"/>
    <w:rPr>
      <w:b/>
      <w:bCs/>
      <w:sz w:val="20"/>
      <w:szCs w:val="20"/>
    </w:rPr>
  </w:style>
  <w:style w:type="paragraph" w:styleId="berarbeitung">
    <w:name w:val="Revision"/>
    <w:hidden/>
    <w:uiPriority w:val="99"/>
    <w:semiHidden/>
    <w:rsid w:val="000211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32752">
      <w:bodyDiv w:val="1"/>
      <w:marLeft w:val="0"/>
      <w:marRight w:val="0"/>
      <w:marTop w:val="0"/>
      <w:marBottom w:val="0"/>
      <w:divBdr>
        <w:top w:val="none" w:sz="0" w:space="0" w:color="auto"/>
        <w:left w:val="none" w:sz="0" w:space="0" w:color="auto"/>
        <w:bottom w:val="none" w:sz="0" w:space="0" w:color="auto"/>
        <w:right w:val="none" w:sz="0" w:space="0" w:color="auto"/>
      </w:divBdr>
    </w:div>
    <w:div w:id="197088408">
      <w:bodyDiv w:val="1"/>
      <w:marLeft w:val="0"/>
      <w:marRight w:val="0"/>
      <w:marTop w:val="0"/>
      <w:marBottom w:val="0"/>
      <w:divBdr>
        <w:top w:val="none" w:sz="0" w:space="0" w:color="auto"/>
        <w:left w:val="none" w:sz="0" w:space="0" w:color="auto"/>
        <w:bottom w:val="none" w:sz="0" w:space="0" w:color="auto"/>
        <w:right w:val="none" w:sz="0" w:space="0" w:color="auto"/>
      </w:divBdr>
    </w:div>
    <w:div w:id="404037400">
      <w:bodyDiv w:val="1"/>
      <w:marLeft w:val="0"/>
      <w:marRight w:val="0"/>
      <w:marTop w:val="0"/>
      <w:marBottom w:val="0"/>
      <w:divBdr>
        <w:top w:val="none" w:sz="0" w:space="0" w:color="auto"/>
        <w:left w:val="none" w:sz="0" w:space="0" w:color="auto"/>
        <w:bottom w:val="none" w:sz="0" w:space="0" w:color="auto"/>
        <w:right w:val="none" w:sz="0" w:space="0" w:color="auto"/>
      </w:divBdr>
    </w:div>
    <w:div w:id="522208039">
      <w:bodyDiv w:val="1"/>
      <w:marLeft w:val="0"/>
      <w:marRight w:val="0"/>
      <w:marTop w:val="0"/>
      <w:marBottom w:val="0"/>
      <w:divBdr>
        <w:top w:val="none" w:sz="0" w:space="0" w:color="auto"/>
        <w:left w:val="none" w:sz="0" w:space="0" w:color="auto"/>
        <w:bottom w:val="none" w:sz="0" w:space="0" w:color="auto"/>
        <w:right w:val="none" w:sz="0" w:space="0" w:color="auto"/>
      </w:divBdr>
    </w:div>
    <w:div w:id="704409544">
      <w:bodyDiv w:val="1"/>
      <w:marLeft w:val="0"/>
      <w:marRight w:val="0"/>
      <w:marTop w:val="0"/>
      <w:marBottom w:val="0"/>
      <w:divBdr>
        <w:top w:val="none" w:sz="0" w:space="0" w:color="auto"/>
        <w:left w:val="none" w:sz="0" w:space="0" w:color="auto"/>
        <w:bottom w:val="none" w:sz="0" w:space="0" w:color="auto"/>
        <w:right w:val="none" w:sz="0" w:space="0" w:color="auto"/>
      </w:divBdr>
    </w:div>
    <w:div w:id="958876658">
      <w:bodyDiv w:val="1"/>
      <w:marLeft w:val="0"/>
      <w:marRight w:val="0"/>
      <w:marTop w:val="0"/>
      <w:marBottom w:val="0"/>
      <w:divBdr>
        <w:top w:val="none" w:sz="0" w:space="0" w:color="auto"/>
        <w:left w:val="none" w:sz="0" w:space="0" w:color="auto"/>
        <w:bottom w:val="none" w:sz="0" w:space="0" w:color="auto"/>
        <w:right w:val="none" w:sz="0" w:space="0" w:color="auto"/>
      </w:divBdr>
    </w:div>
    <w:div w:id="1480925982">
      <w:bodyDiv w:val="1"/>
      <w:marLeft w:val="0"/>
      <w:marRight w:val="0"/>
      <w:marTop w:val="0"/>
      <w:marBottom w:val="0"/>
      <w:divBdr>
        <w:top w:val="none" w:sz="0" w:space="0" w:color="auto"/>
        <w:left w:val="none" w:sz="0" w:space="0" w:color="auto"/>
        <w:bottom w:val="none" w:sz="0" w:space="0" w:color="auto"/>
        <w:right w:val="none" w:sz="0" w:space="0" w:color="auto"/>
      </w:divBdr>
    </w:div>
    <w:div w:id="1650331102">
      <w:bodyDiv w:val="1"/>
      <w:marLeft w:val="0"/>
      <w:marRight w:val="0"/>
      <w:marTop w:val="0"/>
      <w:marBottom w:val="0"/>
      <w:divBdr>
        <w:top w:val="none" w:sz="0" w:space="0" w:color="auto"/>
        <w:left w:val="none" w:sz="0" w:space="0" w:color="auto"/>
        <w:bottom w:val="none" w:sz="0" w:space="0" w:color="auto"/>
        <w:right w:val="none" w:sz="0" w:space="0" w:color="auto"/>
      </w:divBdr>
    </w:div>
    <w:div w:id="1786851117">
      <w:bodyDiv w:val="1"/>
      <w:marLeft w:val="0"/>
      <w:marRight w:val="0"/>
      <w:marTop w:val="0"/>
      <w:marBottom w:val="0"/>
      <w:divBdr>
        <w:top w:val="none" w:sz="0" w:space="0" w:color="auto"/>
        <w:left w:val="none" w:sz="0" w:space="0" w:color="auto"/>
        <w:bottom w:val="none" w:sz="0" w:space="0" w:color="auto"/>
        <w:right w:val="none" w:sz="0" w:space="0" w:color="auto"/>
      </w:divBdr>
    </w:div>
    <w:div w:id="1870407197">
      <w:bodyDiv w:val="1"/>
      <w:marLeft w:val="0"/>
      <w:marRight w:val="0"/>
      <w:marTop w:val="0"/>
      <w:marBottom w:val="0"/>
      <w:divBdr>
        <w:top w:val="none" w:sz="0" w:space="0" w:color="auto"/>
        <w:left w:val="none" w:sz="0" w:space="0" w:color="auto"/>
        <w:bottom w:val="none" w:sz="0" w:space="0" w:color="auto"/>
        <w:right w:val="none" w:sz="0" w:space="0" w:color="auto"/>
      </w:divBdr>
    </w:div>
    <w:div w:id="1937244768">
      <w:bodyDiv w:val="1"/>
      <w:marLeft w:val="0"/>
      <w:marRight w:val="0"/>
      <w:marTop w:val="0"/>
      <w:marBottom w:val="0"/>
      <w:divBdr>
        <w:top w:val="none" w:sz="0" w:space="0" w:color="auto"/>
        <w:left w:val="none" w:sz="0" w:space="0" w:color="auto"/>
        <w:bottom w:val="none" w:sz="0" w:space="0" w:color="auto"/>
        <w:right w:val="none" w:sz="0" w:space="0" w:color="auto"/>
      </w:divBdr>
    </w:div>
    <w:div w:id="2064477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Uni Graz">
      <a:dk1>
        <a:srgbClr val="000000"/>
      </a:dk1>
      <a:lt1>
        <a:srgbClr val="FFFFFF"/>
      </a:lt1>
      <a:dk2>
        <a:srgbClr val="C6C6C6"/>
      </a:dk2>
      <a:lt2>
        <a:srgbClr val="FFFFFF"/>
      </a:lt2>
      <a:accent1>
        <a:srgbClr val="FFD500"/>
      </a:accent1>
      <a:accent2>
        <a:srgbClr val="4B88C5"/>
      </a:accent2>
      <a:accent3>
        <a:srgbClr val="DE4926"/>
      </a:accent3>
      <a:accent4>
        <a:srgbClr val="7AB751"/>
      </a:accent4>
      <a:accent5>
        <a:srgbClr val="7D75B7"/>
      </a:accent5>
      <a:accent6>
        <a:srgbClr val="F38D39"/>
      </a:accent6>
      <a:hlink>
        <a:srgbClr val="000000"/>
      </a:hlink>
      <a:folHlink>
        <a:srgbClr val="000000"/>
      </a:folHlink>
    </a:clrScheme>
    <a:fontScheme name="UniGraz">
      <a:majorFont>
        <a:latin typeface="Nunito Sans ExtraBold"/>
        <a:ea typeface=""/>
        <a:cs typeface=""/>
      </a:majorFont>
      <a:minorFont>
        <a:latin typeface="Nunito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accent1"/>
        </a:solidFill>
        <a:ln w="6350">
          <a:noFill/>
        </a:ln>
      </a:spPr>
      <a:bodyPr wrap="square" lIns="144000" tIns="144000" rIns="144000" bIns="36000" rtlCol="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Max237</b:Tag>
    <b:SourceType>Book</b:SourceType>
    <b:Guid>{C41C519B-9209-7A48-951D-DD026F817D82}</b:Guid>
    <b:Author>
      <b:Author>
        <b:NameList>
          <b:Person>
            <b:Last>Mustermann</b:Last>
            <b:First>Max</b:First>
          </b:Person>
        </b:NameList>
      </b:Author>
    </b:Author>
    <b:Title>Titel</b:Title>
    <b:City>Graz</b:City>
    <b:Publisher>Verlag</b:Publisher>
    <b:Year>2023</b:Year>
    <b:RefOrder>1</b:RefOrder>
  </b:Source>
</b:Sources>
</file>

<file path=customXml/itemProps1.xml><?xml version="1.0" encoding="utf-8"?>
<ds:datastoreItem xmlns:ds="http://schemas.openxmlformats.org/officeDocument/2006/customXml" ds:itemID="{3719339B-FC4F-4040-ABC8-457FB08DC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2786</Words>
  <Characters>17558</Characters>
  <Application>Microsoft Office Word</Application>
  <DocSecurity>0</DocSecurity>
  <Lines>146</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Christandl, Gregor (gregor.christandl@uni-graz.at)</dc:creator>
  <cp:keywords/>
  <dc:description/>
  <cp:lastModifiedBy>Christandl, Gregor (gregor.christandl@uni-graz.at)</cp:lastModifiedBy>
  <cp:revision>11</cp:revision>
  <cp:lastPrinted>2024-02-15T13:59:00Z</cp:lastPrinted>
  <dcterms:created xsi:type="dcterms:W3CDTF">2026-04-15T12:55:00Z</dcterms:created>
  <dcterms:modified xsi:type="dcterms:W3CDTF">2026-04-24T07:46:00Z</dcterms:modified>
</cp:coreProperties>
</file>